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E101" w14:textId="77777777" w:rsidR="00D90436" w:rsidRPr="00575F44" w:rsidRDefault="00D90436" w:rsidP="00D90436">
      <w:pPr>
        <w:keepNext/>
        <w:widowControl/>
        <w:suppressAutoHyphens/>
        <w:autoSpaceDE/>
        <w:adjustRightInd/>
        <w:spacing w:after="120"/>
        <w:jc w:val="center"/>
        <w:rPr>
          <w:rFonts w:eastAsia="Times New Roman" w:cs="Times New Roman"/>
          <w:b/>
          <w:bCs/>
          <w:caps/>
          <w:spacing w:val="54"/>
          <w:kern w:val="24"/>
          <w:szCs w:val="24"/>
        </w:rPr>
      </w:pPr>
      <w:bookmarkStart w:id="0" w:name="_Hlk172801897"/>
      <w:r w:rsidRPr="00575F44">
        <w:rPr>
          <w:rFonts w:eastAsia="Times New Roman" w:cs="Times New Roman"/>
          <w:b/>
          <w:bCs/>
          <w:caps/>
          <w:spacing w:val="54"/>
          <w:kern w:val="24"/>
          <w:szCs w:val="24"/>
        </w:rPr>
        <w:t>USTAWA</w:t>
      </w:r>
    </w:p>
    <w:bookmarkEnd w:id="0"/>
    <w:p w14:paraId="73EBE01E" w14:textId="77777777" w:rsidR="00D90436" w:rsidRPr="00575F44" w:rsidRDefault="00D90436" w:rsidP="00D90436">
      <w:pPr>
        <w:widowControl/>
        <w:autoSpaceDE/>
        <w:adjustRightInd/>
        <w:spacing w:after="160" w:line="256" w:lineRule="auto"/>
        <w:jc w:val="center"/>
        <w:rPr>
          <w:rFonts w:eastAsia="Calibri" w:cs="Times New Roman"/>
          <w:bCs/>
          <w:szCs w:val="24"/>
          <w:lang w:eastAsia="en-US"/>
        </w:rPr>
      </w:pPr>
      <w:r w:rsidRPr="00575F44">
        <w:rPr>
          <w:rFonts w:eastAsia="Calibri" w:cs="Times New Roman"/>
          <w:bCs/>
          <w:szCs w:val="24"/>
          <w:lang w:eastAsia="en-US"/>
        </w:rPr>
        <w:t>z dnia …</w:t>
      </w:r>
    </w:p>
    <w:p w14:paraId="3B01C95F" w14:textId="77777777" w:rsidR="00D90436" w:rsidRPr="00575F44" w:rsidRDefault="00D90436" w:rsidP="00D90436">
      <w:pPr>
        <w:widowControl/>
        <w:autoSpaceDE/>
        <w:adjustRightInd/>
        <w:spacing w:after="160" w:line="256" w:lineRule="auto"/>
        <w:jc w:val="center"/>
        <w:rPr>
          <w:rFonts w:eastAsia="Calibri" w:cs="Times New Roman"/>
          <w:b/>
          <w:szCs w:val="24"/>
          <w:lang w:eastAsia="en-US"/>
        </w:rPr>
      </w:pPr>
      <w:r w:rsidRPr="00575F44">
        <w:rPr>
          <w:rFonts w:eastAsia="Calibri" w:cs="Times New Roman"/>
          <w:b/>
          <w:szCs w:val="24"/>
          <w:lang w:eastAsia="en-US"/>
        </w:rPr>
        <w:t>o zmianie ustawy o podatku od towarów i usług</w:t>
      </w:r>
    </w:p>
    <w:p w14:paraId="3C99C1FB" w14:textId="77777777" w:rsidR="00601741" w:rsidRPr="00575F44" w:rsidRDefault="00601741" w:rsidP="00CC6DAF">
      <w:pPr>
        <w:pStyle w:val="ARTartustawynprozporzdzenia"/>
        <w:ind w:firstLine="0"/>
        <w:rPr>
          <w:rStyle w:val="Ppogrubienie"/>
          <w:rFonts w:ascii="Times New Roman" w:hAnsi="Times New Roman" w:cs="Times New Roman"/>
          <w:szCs w:val="24"/>
        </w:rPr>
      </w:pPr>
    </w:p>
    <w:p w14:paraId="71B39512" w14:textId="2A1F0F45" w:rsidR="00601741" w:rsidRPr="00575F44" w:rsidRDefault="00601741" w:rsidP="00CC6DAF">
      <w:pPr>
        <w:pStyle w:val="ARTartustawynprozporzdzenia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b/>
          <w:bCs/>
          <w:szCs w:val="24"/>
        </w:rPr>
        <w:t>Art. 1</w:t>
      </w:r>
      <w:r w:rsidR="00562DAA" w:rsidRPr="00575F44">
        <w:rPr>
          <w:rFonts w:ascii="Times New Roman" w:hAnsi="Times New Roman" w:cs="Times New Roman"/>
          <w:b/>
          <w:bCs/>
          <w:szCs w:val="24"/>
        </w:rPr>
        <w:t>.</w:t>
      </w:r>
      <w:r w:rsidR="009B6C66" w:rsidRPr="00575F44">
        <w:rPr>
          <w:rFonts w:ascii="Times New Roman" w:hAnsi="Times New Roman" w:cs="Times New Roman"/>
          <w:b/>
          <w:bCs/>
          <w:szCs w:val="24"/>
        </w:rPr>
        <w:t xml:space="preserve"> </w:t>
      </w:r>
      <w:r w:rsidR="002657D6" w:rsidRPr="00575F44">
        <w:rPr>
          <w:rFonts w:ascii="Times New Roman" w:hAnsi="Times New Roman" w:cs="Times New Roman"/>
          <w:szCs w:val="24"/>
        </w:rPr>
        <w:t xml:space="preserve">W ustawie z dnia 11 marca 2004 r. o podatku od towarów i usług (Dz.U. z 2025 r. poz. </w:t>
      </w:r>
      <w:r w:rsidR="00575F44">
        <w:rPr>
          <w:rFonts w:ascii="Times New Roman" w:hAnsi="Times New Roman" w:cs="Times New Roman"/>
          <w:szCs w:val="24"/>
        </w:rPr>
        <w:t>775</w:t>
      </w:r>
      <w:r w:rsidR="002657D6" w:rsidRPr="00575F44">
        <w:rPr>
          <w:rFonts w:ascii="Times New Roman" w:hAnsi="Times New Roman" w:cs="Times New Roman"/>
          <w:szCs w:val="24"/>
        </w:rPr>
        <w:t>, z późn. zm.) wprowadza się następujące zmiany:</w:t>
      </w:r>
    </w:p>
    <w:p w14:paraId="4BA525E3" w14:textId="6C8D5D79" w:rsidR="00D90436" w:rsidRPr="00575F44" w:rsidRDefault="00D90436" w:rsidP="00D90436">
      <w:pPr>
        <w:pStyle w:val="ZUSTzmustartykuempunktem"/>
        <w:ind w:firstLine="0"/>
        <w:rPr>
          <w:rFonts w:ascii="Times New Roman" w:hAnsi="Times New Roman" w:cs="Times New Roman"/>
          <w:szCs w:val="24"/>
        </w:rPr>
      </w:pPr>
    </w:p>
    <w:p w14:paraId="6715C174" w14:textId="245AA524" w:rsidR="00D90436" w:rsidRPr="00575F44" w:rsidRDefault="00D90436" w:rsidP="00D90436">
      <w:pPr>
        <w:pStyle w:val="ARTartustawynprozporzdzenia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w art. 13a w ust. 2 w pkt 4 skreśla się wyrazy „</w:t>
      </w:r>
      <w:r w:rsidR="005E77FB">
        <w:rPr>
          <w:rFonts w:ascii="Times New Roman" w:hAnsi="Times New Roman" w:cs="Times New Roman"/>
          <w:szCs w:val="24"/>
        </w:rPr>
        <w:t xml:space="preserve"> </w:t>
      </w:r>
      <w:r w:rsidRPr="00575F44">
        <w:rPr>
          <w:rFonts w:ascii="Times New Roman" w:hAnsi="Times New Roman" w:cs="Times New Roman"/>
          <w:szCs w:val="24"/>
        </w:rPr>
        <w:t>, oraz podaje w informacji odpowiadającej informacji podsumowującej, o której mowa w art. 100 ust. 1 pkt 5, numer identyfikacji podatkowej, o którym mowa w pkt 3”;</w:t>
      </w:r>
    </w:p>
    <w:p w14:paraId="48AB6E2F" w14:textId="77777777" w:rsidR="00D90436" w:rsidRPr="00575F44" w:rsidRDefault="00D90436" w:rsidP="00D90436">
      <w:pPr>
        <w:pStyle w:val="ARTartustawynprozporzdzenia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w art. 13c uchyla się pkt 4;</w:t>
      </w:r>
    </w:p>
    <w:p w14:paraId="73AEE241" w14:textId="447E15B1" w:rsidR="00D90436" w:rsidRPr="00575F44" w:rsidRDefault="00D90436" w:rsidP="00D90436">
      <w:pPr>
        <w:pStyle w:val="ARTartustawynprozporzdzenia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w art. 13h w ust. 2 w pkt 4 skreśla się wyrazy „</w:t>
      </w:r>
      <w:r w:rsidR="005E77FB">
        <w:rPr>
          <w:rFonts w:ascii="Times New Roman" w:hAnsi="Times New Roman" w:cs="Times New Roman"/>
          <w:szCs w:val="24"/>
        </w:rPr>
        <w:t xml:space="preserve"> </w:t>
      </w:r>
      <w:r w:rsidRPr="00575F44">
        <w:rPr>
          <w:rFonts w:ascii="Times New Roman" w:hAnsi="Times New Roman" w:cs="Times New Roman"/>
          <w:szCs w:val="24"/>
        </w:rPr>
        <w:t>, oraz podaje w informacji podsumowującej, o której mowa w art. 100 ust. 1 pkt 5, numer identyfikacyjny, o którym mowa w pkt 3”;</w:t>
      </w:r>
    </w:p>
    <w:p w14:paraId="172AC802" w14:textId="01002943" w:rsidR="00D90436" w:rsidRPr="00575F44" w:rsidRDefault="00D90436" w:rsidP="00D90436">
      <w:pPr>
        <w:pStyle w:val="ARTartustawynprozporzdzenia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w art. 13j uchyla się pkt 4;</w:t>
      </w:r>
    </w:p>
    <w:p w14:paraId="35A8FD66" w14:textId="14B3D780" w:rsidR="00D90436" w:rsidRPr="00575F44" w:rsidRDefault="00D90436" w:rsidP="00D90436">
      <w:pPr>
        <w:pStyle w:val="ARTartustawynprozporzdzenia"/>
        <w:numPr>
          <w:ilvl w:val="0"/>
          <w:numId w:val="3"/>
        </w:numPr>
        <w:rPr>
          <w:rFonts w:ascii="Times New Roman" w:hAnsi="Times New Roman" w:cs="Times New Roman"/>
          <w:b/>
          <w:bCs/>
          <w:szCs w:val="24"/>
        </w:rPr>
      </w:pPr>
      <w:r w:rsidRPr="00575F44">
        <w:rPr>
          <w:rStyle w:val="Pogrubienie"/>
          <w:rFonts w:ascii="Times New Roman" w:eastAsiaTheme="majorEastAsia" w:hAnsi="Times New Roman" w:cs="Times New Roman"/>
          <w:b w:val="0"/>
          <w:szCs w:val="24"/>
        </w:rPr>
        <w:t>w</w:t>
      </w:r>
      <w:r w:rsidRPr="00575F44">
        <w:rPr>
          <w:rStyle w:val="Pogrubienie"/>
          <w:rFonts w:ascii="Times New Roman" w:eastAsiaTheme="majorEastAsia" w:hAnsi="Times New Roman" w:cs="Times New Roman"/>
          <w:szCs w:val="24"/>
        </w:rPr>
        <w:t xml:space="preserve"> </w:t>
      </w:r>
      <w:r w:rsidRPr="00575F44">
        <w:rPr>
          <w:rStyle w:val="Pogrubienie"/>
          <w:rFonts w:ascii="Times New Roman" w:eastAsiaTheme="majorEastAsia" w:hAnsi="Times New Roman" w:cs="Times New Roman"/>
          <w:b w:val="0"/>
          <w:szCs w:val="24"/>
        </w:rPr>
        <w:t>art. 15a</w:t>
      </w:r>
      <w:r w:rsidRPr="00575F44">
        <w:rPr>
          <w:rFonts w:ascii="Times New Roman" w:hAnsi="Times New Roman" w:cs="Times New Roman"/>
          <w:szCs w:val="24"/>
        </w:rPr>
        <w:t xml:space="preserve">: </w:t>
      </w:r>
    </w:p>
    <w:p w14:paraId="2F0E0D18" w14:textId="77777777" w:rsidR="00D90436" w:rsidRPr="00575F44" w:rsidRDefault="00D90436" w:rsidP="00D90436">
      <w:pPr>
        <w:pStyle w:val="ARTartustawynprozporzdzenia"/>
        <w:ind w:left="420" w:firstLine="0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 xml:space="preserve">a) ust. 9 otrzymuje następujące brzmienie: </w:t>
      </w:r>
    </w:p>
    <w:p w14:paraId="49191FCB" w14:textId="2EF0A8E5" w:rsidR="00D90436" w:rsidRPr="00575F44" w:rsidRDefault="00D90436" w:rsidP="00575F44">
      <w:pPr>
        <w:pStyle w:val="ARTartustawynprozporzdzenia"/>
        <w:ind w:left="420" w:firstLine="708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„</w:t>
      </w:r>
      <w:r w:rsidR="00575F44">
        <w:rPr>
          <w:rFonts w:ascii="Times New Roman" w:hAnsi="Times New Roman" w:cs="Times New Roman"/>
          <w:szCs w:val="24"/>
        </w:rPr>
        <w:t xml:space="preserve">9. </w:t>
      </w:r>
      <w:r w:rsidRPr="00575F44">
        <w:rPr>
          <w:rFonts w:ascii="Times New Roman" w:hAnsi="Times New Roman" w:cs="Times New Roman"/>
          <w:szCs w:val="24"/>
        </w:rPr>
        <w:t>Grupa VAT nie może być pomniejszona o któregokolwiek z członków wchodzących w jej skład.”</w:t>
      </w:r>
      <w:r w:rsidR="00575F44">
        <w:rPr>
          <w:rFonts w:ascii="Times New Roman" w:hAnsi="Times New Roman" w:cs="Times New Roman"/>
          <w:szCs w:val="24"/>
        </w:rPr>
        <w:t>,</w:t>
      </w:r>
    </w:p>
    <w:p w14:paraId="63E592EC" w14:textId="11F190D5" w:rsidR="00D90436" w:rsidRPr="00575F44" w:rsidRDefault="00D90436" w:rsidP="007A4170">
      <w:pPr>
        <w:pStyle w:val="ARTartustawynprozporzdzenia"/>
        <w:ind w:left="420" w:firstLine="0"/>
        <w:rPr>
          <w:rFonts w:ascii="Times New Roman" w:hAnsi="Times New Roman" w:cs="Times New Roman"/>
          <w:b/>
          <w:bCs/>
          <w:szCs w:val="24"/>
        </w:rPr>
      </w:pPr>
      <w:r w:rsidRPr="00575F44">
        <w:rPr>
          <w:rFonts w:ascii="Times New Roman" w:hAnsi="Times New Roman" w:cs="Times New Roman"/>
          <w:szCs w:val="24"/>
        </w:rPr>
        <w:t>b) po ust. 9 dodaje się ust. 9a–9d w brzmieniu:</w:t>
      </w:r>
    </w:p>
    <w:p w14:paraId="79426250" w14:textId="45CCF023" w:rsidR="00D90436" w:rsidRPr="00575F44" w:rsidRDefault="00D90436" w:rsidP="00575F44">
      <w:pPr>
        <w:pStyle w:val="ZUSTzmustartykuempunktem"/>
        <w:ind w:left="420" w:firstLine="708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„9a. Grupa VAT w okresie jej funkcjonowania może być rozszerzona o nowego członka, pod warunkiem spełniania przez tego nowego członka warunków określonych w ust. 1</w:t>
      </w:r>
      <w:r w:rsidR="005E77FB">
        <w:rPr>
          <w:rFonts w:ascii="Times New Roman" w:hAnsi="Times New Roman" w:cs="Times New Roman"/>
          <w:szCs w:val="24"/>
        </w:rPr>
        <w:t>-</w:t>
      </w:r>
      <w:r w:rsidRPr="00575F44">
        <w:rPr>
          <w:rFonts w:ascii="Times New Roman" w:hAnsi="Times New Roman" w:cs="Times New Roman"/>
          <w:szCs w:val="24"/>
        </w:rPr>
        <w:t>2.</w:t>
      </w:r>
    </w:p>
    <w:p w14:paraId="02C29D90" w14:textId="1B7338D0" w:rsidR="00D90436" w:rsidRPr="00575F44" w:rsidRDefault="00D90436" w:rsidP="00575F44">
      <w:pPr>
        <w:pStyle w:val="ZUSTzmustartykuempunktem"/>
        <w:ind w:left="420" w:firstLine="708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9b. Dołączenie nowego członka do grupy VAT następuje poprzez złożenie do naczelnika urzędu skarbowego właściwego w sprawach opodatkowania tej grupy VAT zmiany umowy o utworzeniu grupy VAT polegającej na dopisaniu nowego członka grupy VAT.</w:t>
      </w:r>
    </w:p>
    <w:p w14:paraId="7F235295" w14:textId="5694F95C" w:rsidR="00D90436" w:rsidRPr="00575F44" w:rsidRDefault="00D90436" w:rsidP="00575F44">
      <w:pPr>
        <w:pStyle w:val="ZUSTzmustartykuempunktem"/>
        <w:ind w:left="420" w:firstLine="708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9c. Rozszerzenie grupy VAT o nowego członka następuje z dniem wskazanym w zmianie umowy o utworzeniu grupy VAT, nie wcześniej jednak niż z dniem wykreślenia nowego członka grupy VAT z rejestru podatników VAT, jeżeli nowy członek grupy VAT jest zarejestrowany dla celów VAT.</w:t>
      </w:r>
    </w:p>
    <w:p w14:paraId="7E3BB2B2" w14:textId="618C1881" w:rsidR="00D90436" w:rsidRPr="00575F44" w:rsidRDefault="00D90436" w:rsidP="00575F44">
      <w:pPr>
        <w:pStyle w:val="ZUSTzmustartykuempunktem"/>
        <w:ind w:left="0" w:firstLine="708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lastRenderedPageBreak/>
        <w:t>9d. Rozszerzenie grupy VAT nie powoduje przerwania okresu na jaki grupa VAT została utworzona.”</w:t>
      </w:r>
      <w:r w:rsidR="00575F44">
        <w:rPr>
          <w:rFonts w:ascii="Times New Roman" w:hAnsi="Times New Roman" w:cs="Times New Roman"/>
          <w:szCs w:val="24"/>
        </w:rPr>
        <w:t>;</w:t>
      </w:r>
    </w:p>
    <w:p w14:paraId="37FB9FE6" w14:textId="08F7FABD" w:rsidR="00D90436" w:rsidRPr="00575F44" w:rsidRDefault="00D90436" w:rsidP="00D90436">
      <w:pPr>
        <w:pStyle w:val="ARTartustawynprozporzdzenia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 xml:space="preserve">w art. 18c w ust. 1 w pkt 1 skreśla się wyrazy „oraz informacji podsumowujących, </w:t>
      </w:r>
      <w:r w:rsidR="005E77FB">
        <w:rPr>
          <w:rFonts w:ascii="Times New Roman" w:hAnsi="Times New Roman" w:cs="Times New Roman"/>
          <w:szCs w:val="24"/>
        </w:rPr>
        <w:t xml:space="preserve">                           </w:t>
      </w:r>
      <w:r w:rsidRPr="00575F44">
        <w:rPr>
          <w:rFonts w:ascii="Times New Roman" w:hAnsi="Times New Roman" w:cs="Times New Roman"/>
          <w:szCs w:val="24"/>
        </w:rPr>
        <w:t>o których mowa w art. 100 ust. 1”;</w:t>
      </w:r>
    </w:p>
    <w:p w14:paraId="4B321478" w14:textId="77777777" w:rsidR="00D90436" w:rsidRPr="00575F44" w:rsidRDefault="00D90436" w:rsidP="00D90436">
      <w:pPr>
        <w:pStyle w:val="ARTartustawynprozporzdzenia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w art. 26 w ust. 1 uchyla się pkt 1;</w:t>
      </w:r>
    </w:p>
    <w:p w14:paraId="2636C381" w14:textId="788CA18D" w:rsidR="006C24B2" w:rsidRPr="00575F44" w:rsidRDefault="006C24B2" w:rsidP="00CC6DAF">
      <w:pPr>
        <w:pStyle w:val="NormalnyWeb"/>
        <w:numPr>
          <w:ilvl w:val="0"/>
          <w:numId w:val="3"/>
        </w:numPr>
        <w:jc w:val="both"/>
        <w:rPr>
          <w:rStyle w:val="Pogrubienie"/>
          <w:b w:val="0"/>
          <w:bCs w:val="0"/>
        </w:rPr>
      </w:pPr>
      <w:r w:rsidRPr="00575F44">
        <w:t>w a</w:t>
      </w:r>
      <w:r w:rsidR="00D6544F" w:rsidRPr="00575F44">
        <w:rPr>
          <w:rStyle w:val="Pogrubienie"/>
          <w:rFonts w:eastAsiaTheme="majorEastAsia"/>
          <w:b w:val="0"/>
        </w:rPr>
        <w:t>rt. 29a</w:t>
      </w:r>
      <w:r w:rsidRPr="00575F44">
        <w:rPr>
          <w:rStyle w:val="Pogrubienie"/>
          <w:rFonts w:eastAsiaTheme="majorEastAsia"/>
        </w:rPr>
        <w:t xml:space="preserve"> </w:t>
      </w:r>
      <w:r w:rsidRPr="00575F44">
        <w:rPr>
          <w:rStyle w:val="Pogrubienie"/>
          <w:rFonts w:eastAsiaTheme="majorEastAsia"/>
          <w:b w:val="0"/>
          <w:bCs w:val="0"/>
        </w:rPr>
        <w:t>ustawy:</w:t>
      </w:r>
    </w:p>
    <w:p w14:paraId="74B48245" w14:textId="5354BFA1" w:rsidR="00D6544F" w:rsidRPr="00575F44" w:rsidRDefault="00072CD3" w:rsidP="007A4170">
      <w:pPr>
        <w:pStyle w:val="NormalnyWeb"/>
        <w:spacing w:before="240" w:beforeAutospacing="0" w:after="240" w:afterAutospacing="0"/>
        <w:ind w:left="420"/>
        <w:jc w:val="both"/>
      </w:pPr>
      <w:r w:rsidRPr="00575F44">
        <w:t>a)</w:t>
      </w:r>
      <w:r w:rsidR="00D6544F" w:rsidRPr="00575F44">
        <w:t xml:space="preserve"> ust. 11</w:t>
      </w:r>
      <w:r w:rsidR="00D33FDD" w:rsidRPr="00575F44">
        <w:t>a</w:t>
      </w:r>
      <w:r w:rsidR="00D6544F" w:rsidRPr="00575F44">
        <w:t xml:space="preserve"> </w:t>
      </w:r>
      <w:r w:rsidR="00D33FDD" w:rsidRPr="00575F44">
        <w:t>otrzymuje</w:t>
      </w:r>
      <w:r w:rsidR="00575F44">
        <w:t xml:space="preserve"> </w:t>
      </w:r>
      <w:r w:rsidR="00D33FDD" w:rsidRPr="00575F44">
        <w:t>brzmienie</w:t>
      </w:r>
      <w:r w:rsidR="00D6544F" w:rsidRPr="00575F44">
        <w:t>:</w:t>
      </w:r>
    </w:p>
    <w:p w14:paraId="2ED1AC5C" w14:textId="7548609F" w:rsidR="00F90B70" w:rsidRPr="00575F44" w:rsidRDefault="00D6544F" w:rsidP="00575F44">
      <w:pPr>
        <w:pStyle w:val="ZUSTzmustartykuempunktem"/>
        <w:spacing w:before="240" w:after="240"/>
        <w:ind w:left="420" w:firstLine="708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„</w:t>
      </w:r>
      <w:r w:rsidR="00D33FDD" w:rsidRPr="00575F44">
        <w:rPr>
          <w:rFonts w:ascii="Times New Roman" w:hAnsi="Times New Roman" w:cs="Times New Roman"/>
          <w:szCs w:val="24"/>
        </w:rPr>
        <w:t>11a. Do podstawy opodatkowania nie wlicza się kaucji pobieranej za opakowanie objęte systemem kaucyjnym, w tym również w przypadku niezwrócenia opakowania, jego zniszczenia lub utraty, niezależnie od dalszych rozliczeń dotyczących tego opakowania</w:t>
      </w:r>
      <w:r w:rsidR="00CC6DAF" w:rsidRPr="00575F44">
        <w:rPr>
          <w:rFonts w:ascii="Times New Roman" w:hAnsi="Times New Roman" w:cs="Times New Roman"/>
          <w:szCs w:val="24"/>
        </w:rPr>
        <w:t>.”</w:t>
      </w:r>
      <w:r w:rsidR="00575F44">
        <w:rPr>
          <w:rFonts w:ascii="Times New Roman" w:hAnsi="Times New Roman" w:cs="Times New Roman"/>
          <w:szCs w:val="24"/>
        </w:rPr>
        <w:t>,</w:t>
      </w:r>
    </w:p>
    <w:p w14:paraId="11481401" w14:textId="74AFAB7F" w:rsidR="00F15A95" w:rsidRPr="00575F44" w:rsidRDefault="00F15A95" w:rsidP="007A4170">
      <w:pPr>
        <w:pStyle w:val="ZUSTzmustartykuempunktem"/>
        <w:spacing w:before="240" w:after="240"/>
        <w:ind w:firstLine="0"/>
        <w:rPr>
          <w:rFonts w:ascii="Times New Roman" w:hAnsi="Times New Roman" w:cs="Times New Roman"/>
          <w:szCs w:val="24"/>
        </w:rPr>
      </w:pPr>
      <w:r w:rsidRPr="00412D3F">
        <w:rPr>
          <w:rFonts w:ascii="Times New Roman" w:hAnsi="Times New Roman" w:cs="Times New Roman"/>
          <w:szCs w:val="24"/>
        </w:rPr>
        <w:t xml:space="preserve">b) uchyla się ust. </w:t>
      </w:r>
      <w:r w:rsidR="00F90B70" w:rsidRPr="00412D3F">
        <w:rPr>
          <w:rFonts w:ascii="Times New Roman" w:hAnsi="Times New Roman" w:cs="Times New Roman"/>
          <w:szCs w:val="24"/>
        </w:rPr>
        <w:t>12c – 12d</w:t>
      </w:r>
      <w:r w:rsidR="00575F44" w:rsidRPr="00412D3F">
        <w:rPr>
          <w:rFonts w:ascii="Times New Roman" w:hAnsi="Times New Roman" w:cs="Times New Roman"/>
          <w:szCs w:val="24"/>
        </w:rPr>
        <w:t>;</w:t>
      </w:r>
    </w:p>
    <w:p w14:paraId="68F0FE02" w14:textId="77777777" w:rsidR="001560BD" w:rsidRPr="00575F44" w:rsidRDefault="001560BD" w:rsidP="001560BD">
      <w:pPr>
        <w:pStyle w:val="ZUSTzmustartykuempunktem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bCs/>
          <w:szCs w:val="24"/>
        </w:rPr>
        <w:t>w</w:t>
      </w:r>
      <w:r w:rsidRPr="00575F44">
        <w:rPr>
          <w:rFonts w:ascii="Times New Roman" w:hAnsi="Times New Roman" w:cs="Times New Roman"/>
          <w:b/>
          <w:szCs w:val="24"/>
        </w:rPr>
        <w:t xml:space="preserve"> </w:t>
      </w:r>
      <w:r w:rsidR="00601741" w:rsidRPr="00575F44">
        <w:rPr>
          <w:rFonts w:ascii="Times New Roman" w:hAnsi="Times New Roman" w:cs="Times New Roman"/>
          <w:szCs w:val="24"/>
        </w:rPr>
        <w:t>art. 33a</w:t>
      </w:r>
      <w:r w:rsidRPr="00575F44">
        <w:rPr>
          <w:rFonts w:ascii="Times New Roman" w:hAnsi="Times New Roman" w:cs="Times New Roman"/>
          <w:b/>
          <w:szCs w:val="24"/>
        </w:rPr>
        <w:t xml:space="preserve"> </w:t>
      </w:r>
      <w:r w:rsidRPr="00575F44">
        <w:rPr>
          <w:rFonts w:ascii="Times New Roman" w:hAnsi="Times New Roman" w:cs="Times New Roman"/>
          <w:bCs/>
          <w:szCs w:val="24"/>
        </w:rPr>
        <w:t>ustawy:</w:t>
      </w:r>
    </w:p>
    <w:p w14:paraId="5172328E" w14:textId="285CBC4E" w:rsidR="00601741" w:rsidRPr="00575F44" w:rsidRDefault="008D1436" w:rsidP="007A4170">
      <w:pPr>
        <w:pStyle w:val="ZUSTzmustartykuempunktem"/>
        <w:ind w:left="420" w:firstLine="0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a)</w:t>
      </w:r>
      <w:r w:rsidR="002657D6" w:rsidRPr="00575F44">
        <w:rPr>
          <w:rFonts w:ascii="Times New Roman" w:hAnsi="Times New Roman" w:cs="Times New Roman"/>
          <w:b/>
          <w:szCs w:val="24"/>
        </w:rPr>
        <w:t xml:space="preserve"> </w:t>
      </w:r>
      <w:r w:rsidR="00601741" w:rsidRPr="00575F44">
        <w:rPr>
          <w:rFonts w:ascii="Times New Roman" w:hAnsi="Times New Roman" w:cs="Times New Roman"/>
          <w:bCs/>
          <w:szCs w:val="24"/>
        </w:rPr>
        <w:t>ust. 2</w:t>
      </w:r>
      <w:r w:rsidR="00601741" w:rsidRPr="00575F44">
        <w:rPr>
          <w:rFonts w:ascii="Times New Roman" w:hAnsi="Times New Roman" w:cs="Times New Roman"/>
          <w:szCs w:val="24"/>
        </w:rPr>
        <w:t xml:space="preserve"> otrzymuje brzmienie:</w:t>
      </w:r>
    </w:p>
    <w:p w14:paraId="30F1D82F" w14:textId="0E614BE9" w:rsidR="008D1436" w:rsidRPr="00575F44" w:rsidRDefault="00575F44" w:rsidP="00575F44">
      <w:pPr>
        <w:pStyle w:val="ARTartustawynprozporzdzenia"/>
        <w:ind w:left="420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</w:t>
      </w:r>
      <w:r w:rsidR="00601741" w:rsidRPr="00575F44">
        <w:rPr>
          <w:rFonts w:ascii="Times New Roman" w:hAnsi="Times New Roman" w:cs="Times New Roman"/>
          <w:szCs w:val="24"/>
        </w:rPr>
        <w:t>2. Przepis ust. 1 stosuje się pod warunkiem dokonywania zgłoszeń celnych przez przedstawiciela bezpośredniego lub pośredniego w rozumieniu przepisów celnych.</w:t>
      </w:r>
      <w:r>
        <w:rPr>
          <w:rFonts w:ascii="Times New Roman" w:hAnsi="Times New Roman" w:cs="Times New Roman"/>
          <w:szCs w:val="24"/>
        </w:rPr>
        <w:t>”,</w:t>
      </w:r>
    </w:p>
    <w:p w14:paraId="737EFB1E" w14:textId="5C290433" w:rsidR="003E5D7B" w:rsidRPr="00575F44" w:rsidRDefault="00E569FE" w:rsidP="007A4170">
      <w:pPr>
        <w:pStyle w:val="ARTartustawynprozporzdzenia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bCs/>
          <w:szCs w:val="24"/>
        </w:rPr>
        <w:t xml:space="preserve">b) </w:t>
      </w:r>
      <w:r w:rsidR="00070EB5" w:rsidRPr="00575F44">
        <w:rPr>
          <w:rFonts w:ascii="Times New Roman" w:hAnsi="Times New Roman" w:cs="Times New Roman"/>
          <w:szCs w:val="24"/>
        </w:rPr>
        <w:t xml:space="preserve">uchyla się </w:t>
      </w:r>
      <w:r w:rsidR="00601741" w:rsidRPr="00575F44">
        <w:rPr>
          <w:rFonts w:ascii="Times New Roman" w:hAnsi="Times New Roman" w:cs="Times New Roman"/>
          <w:bCs/>
          <w:szCs w:val="24"/>
        </w:rPr>
        <w:t xml:space="preserve">ust. 2a </w:t>
      </w:r>
      <w:r w:rsidR="00070EB5" w:rsidRPr="00575F44">
        <w:rPr>
          <w:rFonts w:ascii="Times New Roman" w:hAnsi="Times New Roman" w:cs="Times New Roman"/>
          <w:bCs/>
          <w:szCs w:val="24"/>
        </w:rPr>
        <w:t>–</w:t>
      </w:r>
      <w:r w:rsidR="00601741" w:rsidRPr="00575F44">
        <w:rPr>
          <w:rFonts w:ascii="Times New Roman" w:hAnsi="Times New Roman" w:cs="Times New Roman"/>
          <w:bCs/>
          <w:szCs w:val="24"/>
        </w:rPr>
        <w:t xml:space="preserve"> </w:t>
      </w:r>
      <w:r w:rsidR="005232BC" w:rsidRPr="00575F44">
        <w:rPr>
          <w:rFonts w:ascii="Times New Roman" w:hAnsi="Times New Roman" w:cs="Times New Roman"/>
          <w:bCs/>
          <w:szCs w:val="24"/>
        </w:rPr>
        <w:t>2c</w:t>
      </w:r>
      <w:r w:rsidR="00575F44">
        <w:rPr>
          <w:rFonts w:ascii="Times New Roman" w:hAnsi="Times New Roman" w:cs="Times New Roman"/>
          <w:bCs/>
          <w:szCs w:val="24"/>
        </w:rPr>
        <w:t>,</w:t>
      </w:r>
    </w:p>
    <w:p w14:paraId="2374C16F" w14:textId="2C5ACCC0" w:rsidR="00E16A1F" w:rsidRPr="00575F44" w:rsidRDefault="003E5D7B" w:rsidP="00E16A1F">
      <w:pPr>
        <w:pStyle w:val="ARTartustawynprozporzdzenia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bCs/>
          <w:szCs w:val="24"/>
        </w:rPr>
        <w:t>c)</w:t>
      </w:r>
      <w:r w:rsidRPr="00575F44">
        <w:rPr>
          <w:rFonts w:ascii="Times New Roman" w:hAnsi="Times New Roman" w:cs="Times New Roman"/>
          <w:b/>
          <w:szCs w:val="24"/>
        </w:rPr>
        <w:t xml:space="preserve"> </w:t>
      </w:r>
      <w:r w:rsidR="005329CB" w:rsidRPr="00575F44">
        <w:rPr>
          <w:rFonts w:ascii="Times New Roman" w:hAnsi="Times New Roman" w:cs="Times New Roman"/>
          <w:szCs w:val="24"/>
        </w:rPr>
        <w:t>w</w:t>
      </w:r>
      <w:r w:rsidR="005329CB" w:rsidRPr="00575F44">
        <w:rPr>
          <w:rFonts w:ascii="Times New Roman" w:hAnsi="Times New Roman" w:cs="Times New Roman"/>
          <w:b/>
          <w:szCs w:val="24"/>
        </w:rPr>
        <w:t xml:space="preserve"> </w:t>
      </w:r>
      <w:r w:rsidR="00122C49" w:rsidRPr="00575F44">
        <w:rPr>
          <w:rFonts w:ascii="Times New Roman" w:hAnsi="Times New Roman" w:cs="Times New Roman"/>
          <w:szCs w:val="24"/>
        </w:rPr>
        <w:t xml:space="preserve">ust. 2d </w:t>
      </w:r>
      <w:r w:rsidR="00575F44" w:rsidRPr="00575F44">
        <w:rPr>
          <w:rFonts w:ascii="Times New Roman" w:hAnsi="Times New Roman" w:cs="Times New Roman"/>
          <w:szCs w:val="24"/>
        </w:rPr>
        <w:t>wyrazy „ust. 2 pkt 3” zastępuje się wyrazami „ust. 2”,</w:t>
      </w:r>
    </w:p>
    <w:p w14:paraId="7DF3A91E" w14:textId="216334BE" w:rsidR="00575F44" w:rsidRDefault="00E16A1F" w:rsidP="007A4170">
      <w:pPr>
        <w:pStyle w:val="ARTartustawynprozporzdzenia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 xml:space="preserve">d) </w:t>
      </w:r>
      <w:r w:rsidR="00575F44">
        <w:rPr>
          <w:rFonts w:ascii="Times New Roman" w:hAnsi="Times New Roman" w:cs="Times New Roman"/>
          <w:szCs w:val="24"/>
        </w:rPr>
        <w:t>uchyla się ust. 3,</w:t>
      </w:r>
    </w:p>
    <w:p w14:paraId="18E1DEFF" w14:textId="6B7FECFD" w:rsidR="00601741" w:rsidRPr="00575F44" w:rsidRDefault="00575F44" w:rsidP="007A4170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e) </w:t>
      </w:r>
      <w:r w:rsidR="00CC6DAF" w:rsidRPr="00575F44">
        <w:rPr>
          <w:rFonts w:ascii="Times New Roman" w:hAnsi="Times New Roman" w:cs="Times New Roman"/>
          <w:szCs w:val="24"/>
        </w:rPr>
        <w:t xml:space="preserve">ust. </w:t>
      </w:r>
      <w:r w:rsidR="00601741" w:rsidRPr="00575F44">
        <w:rPr>
          <w:rFonts w:ascii="Times New Roman" w:hAnsi="Times New Roman" w:cs="Times New Roman"/>
          <w:szCs w:val="24"/>
        </w:rPr>
        <w:t xml:space="preserve">6a otrzymuje brzmienie: 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2C34A0D3" w14:textId="77777777" w:rsidR="00601741" w:rsidRPr="00575F44" w:rsidRDefault="00601741" w:rsidP="00575F44">
      <w:pPr>
        <w:pStyle w:val="ZUSTzmustartykuempunktem"/>
        <w:ind w:firstLine="708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„6a. W przypadku gdy podatnik nie rozliczył w całości lub w części podatku należnego z tytułu importu towarów na zasadach określonych w ust. 1, może dokonać korekty deklaracji podatkowej:</w:t>
      </w:r>
    </w:p>
    <w:p w14:paraId="7A0A7D5D" w14:textId="77777777" w:rsidR="00601741" w:rsidRPr="00575F44" w:rsidRDefault="00601741" w:rsidP="007A4170">
      <w:pPr>
        <w:pStyle w:val="ZPKTzmpktartykuempunktem"/>
        <w:ind w:left="1276" w:hanging="311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1)</w:t>
      </w:r>
      <w:r w:rsidRPr="00575F44">
        <w:rPr>
          <w:rFonts w:ascii="Times New Roman" w:hAnsi="Times New Roman" w:cs="Times New Roman"/>
          <w:szCs w:val="24"/>
        </w:rPr>
        <w:tab/>
        <w:t>w terminie 4 miesięcy, licząc od miesiąca następującego po miesiącu, w którym powstał obowiązek podatkowy z tytułu importu tych towarów;</w:t>
      </w:r>
    </w:p>
    <w:p w14:paraId="7F785A42" w14:textId="728B51EA" w:rsidR="00601741" w:rsidRPr="00575F44" w:rsidRDefault="00601741" w:rsidP="007A4170">
      <w:pPr>
        <w:pStyle w:val="ZPKTzmpktartykuempunktem"/>
        <w:ind w:left="1276" w:hanging="311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2)</w:t>
      </w:r>
      <w:r w:rsidRPr="00575F44">
        <w:rPr>
          <w:rFonts w:ascii="Times New Roman" w:hAnsi="Times New Roman" w:cs="Times New Roman"/>
          <w:szCs w:val="24"/>
        </w:rPr>
        <w:tab/>
        <w:t>w terminie późniejszym niż określony w pkt 1, jednak nie później niż w terminie miesiąca po upływie terminu na złożenie zgłoszenia uzupełniającego – w przypadku, gdy podatnik stosuje uproszczenie, o którym mowa w art. 166 unijnego kodeksu celnego, i posiada status upoważnionego przedsiębiorcy w rozumieniu art. 38 unijnego kodeksu celnego.”.</w:t>
      </w:r>
    </w:p>
    <w:p w14:paraId="7B005830" w14:textId="77777777" w:rsidR="00757F33" w:rsidRDefault="00E16A1F" w:rsidP="007A4170">
      <w:pPr>
        <w:pStyle w:val="ZUSTzmustartykuempunktem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b/>
          <w:szCs w:val="24"/>
        </w:rPr>
        <w:lastRenderedPageBreak/>
        <w:t xml:space="preserve"> </w:t>
      </w:r>
      <w:r w:rsidRPr="00575F44">
        <w:rPr>
          <w:rFonts w:ascii="Times New Roman" w:hAnsi="Times New Roman" w:cs="Times New Roman"/>
          <w:szCs w:val="24"/>
        </w:rPr>
        <w:t xml:space="preserve">w </w:t>
      </w:r>
      <w:r w:rsidR="00D33FDD" w:rsidRPr="00575F44">
        <w:rPr>
          <w:rFonts w:ascii="Times New Roman" w:hAnsi="Times New Roman" w:cs="Times New Roman"/>
          <w:szCs w:val="24"/>
        </w:rPr>
        <w:t>art. 41</w:t>
      </w:r>
      <w:r w:rsidR="00757F33">
        <w:rPr>
          <w:rFonts w:ascii="Times New Roman" w:hAnsi="Times New Roman" w:cs="Times New Roman"/>
          <w:szCs w:val="24"/>
        </w:rPr>
        <w:t>:</w:t>
      </w:r>
      <w:r w:rsidR="00D33FDD" w:rsidRPr="00575F44">
        <w:rPr>
          <w:rFonts w:ascii="Times New Roman" w:hAnsi="Times New Roman" w:cs="Times New Roman"/>
          <w:szCs w:val="24"/>
        </w:rPr>
        <w:t xml:space="preserve"> </w:t>
      </w:r>
    </w:p>
    <w:p w14:paraId="3FB89649" w14:textId="75EC081E" w:rsidR="00D33FDD" w:rsidRPr="00575F44" w:rsidRDefault="00D33FDD" w:rsidP="00162D92">
      <w:pPr>
        <w:pStyle w:val="ZUSTzmustartykuempunktem"/>
        <w:numPr>
          <w:ilvl w:val="1"/>
          <w:numId w:val="3"/>
        </w:numPr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ust. 6 otrzymuje brzmienie:</w:t>
      </w:r>
    </w:p>
    <w:p w14:paraId="502F4606" w14:textId="4EB4B361" w:rsidR="00D33FDD" w:rsidRPr="00575F44" w:rsidRDefault="00D33FDD" w:rsidP="007E581E">
      <w:pPr>
        <w:pStyle w:val="ZPKTzmpktartykuempunktem"/>
        <w:ind w:left="420" w:firstLine="708"/>
        <w:rPr>
          <w:rFonts w:ascii="Times New Roman" w:eastAsia="Times New Roman" w:hAnsi="Times New Roman" w:cs="Times New Roman"/>
          <w:szCs w:val="24"/>
        </w:rPr>
      </w:pPr>
      <w:r w:rsidRPr="00575F44">
        <w:rPr>
          <w:rFonts w:ascii="Times New Roman" w:eastAsia="Times New Roman" w:hAnsi="Times New Roman" w:cs="Times New Roman"/>
          <w:szCs w:val="24"/>
        </w:rPr>
        <w:t xml:space="preserve">„6. Stawkę podatku 0% stosuje się w eksporcie towarów, jeżeli podatnik </w:t>
      </w:r>
      <w:r w:rsidR="000E13FD" w:rsidRPr="00575F44">
        <w:rPr>
          <w:rFonts w:ascii="Times New Roman" w:eastAsia="Times New Roman" w:hAnsi="Times New Roman" w:cs="Times New Roman"/>
          <w:szCs w:val="24"/>
        </w:rPr>
        <w:t>przed upływem terminu do złożenia deklaracji podatkowej za dany okres rozliczeniowy otrzymał</w:t>
      </w:r>
      <w:r w:rsidR="007A3440" w:rsidRPr="00575F44">
        <w:rPr>
          <w:rFonts w:ascii="Times New Roman" w:eastAsia="Times New Roman" w:hAnsi="Times New Roman" w:cs="Times New Roman"/>
          <w:szCs w:val="24"/>
        </w:rPr>
        <w:t xml:space="preserve"> </w:t>
      </w:r>
      <w:r w:rsidR="00BB1C46" w:rsidRPr="00575F44">
        <w:rPr>
          <w:rFonts w:ascii="Times New Roman" w:eastAsia="Times New Roman" w:hAnsi="Times New Roman" w:cs="Times New Roman"/>
          <w:szCs w:val="24"/>
        </w:rPr>
        <w:t>dowody</w:t>
      </w:r>
      <w:r w:rsidRPr="00575F44">
        <w:rPr>
          <w:rFonts w:ascii="Times New Roman" w:eastAsia="Times New Roman" w:hAnsi="Times New Roman" w:cs="Times New Roman"/>
          <w:szCs w:val="24"/>
        </w:rPr>
        <w:t xml:space="preserve"> potwierdzające </w:t>
      </w:r>
      <w:r w:rsidR="007A3440" w:rsidRPr="00575F44">
        <w:rPr>
          <w:rFonts w:ascii="Times New Roman" w:eastAsia="Times New Roman" w:hAnsi="Times New Roman" w:cs="Times New Roman"/>
          <w:szCs w:val="24"/>
        </w:rPr>
        <w:t>wywóz</w:t>
      </w:r>
      <w:r w:rsidRPr="00575F44">
        <w:rPr>
          <w:rFonts w:ascii="Times New Roman" w:eastAsia="Times New Roman" w:hAnsi="Times New Roman" w:cs="Times New Roman"/>
          <w:szCs w:val="24"/>
        </w:rPr>
        <w:t xml:space="preserve"> towarów poza terytorium Unii Europejskiej</w:t>
      </w:r>
      <w:r w:rsidR="00BB1C46" w:rsidRPr="00575F44">
        <w:rPr>
          <w:rFonts w:ascii="Times New Roman" w:eastAsia="Times New Roman" w:hAnsi="Times New Roman" w:cs="Times New Roman"/>
          <w:szCs w:val="24"/>
        </w:rPr>
        <w:t>.</w:t>
      </w:r>
      <w:r w:rsidR="00A47B9D" w:rsidRPr="00575F44">
        <w:rPr>
          <w:rFonts w:ascii="Times New Roman" w:eastAsia="Times New Roman" w:hAnsi="Times New Roman" w:cs="Times New Roman"/>
          <w:szCs w:val="24"/>
        </w:rPr>
        <w:t xml:space="preserve"> Dowodem potwierdzającym wywóz towarów poza terytorium Unii Europejskiej jest każdy dokument, z którego jednoznacznie wynika, że towary opuściły terytorium Unii Europejskiej,</w:t>
      </w:r>
      <w:r w:rsidR="00BB1C46" w:rsidRPr="00575F44">
        <w:rPr>
          <w:rFonts w:ascii="Times New Roman" w:eastAsia="Times New Roman" w:hAnsi="Times New Roman" w:cs="Times New Roman"/>
          <w:szCs w:val="24"/>
        </w:rPr>
        <w:t xml:space="preserve"> </w:t>
      </w:r>
      <w:r w:rsidRPr="00575F44">
        <w:rPr>
          <w:rFonts w:ascii="Times New Roman" w:eastAsia="Times New Roman" w:hAnsi="Times New Roman" w:cs="Times New Roman"/>
          <w:szCs w:val="24"/>
        </w:rPr>
        <w:t xml:space="preserve"> w szczególności:</w:t>
      </w:r>
    </w:p>
    <w:p w14:paraId="79017505" w14:textId="70E1A50B" w:rsidR="00D33FDD" w:rsidRPr="00575F44" w:rsidRDefault="00D33FDD" w:rsidP="007A4170">
      <w:pPr>
        <w:pStyle w:val="ZPKTzmpktartykuempunktem"/>
        <w:numPr>
          <w:ilvl w:val="0"/>
          <w:numId w:val="8"/>
        </w:numPr>
        <w:ind w:left="1276"/>
        <w:rPr>
          <w:rFonts w:ascii="Times New Roman" w:eastAsia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dokumenty celne,</w:t>
      </w:r>
    </w:p>
    <w:p w14:paraId="69035E93" w14:textId="77777777" w:rsidR="00D33FDD" w:rsidRPr="00575F44" w:rsidRDefault="00D33FDD" w:rsidP="007A4170">
      <w:pPr>
        <w:pStyle w:val="ZPKTzmpktartykuempunktem"/>
        <w:numPr>
          <w:ilvl w:val="0"/>
          <w:numId w:val="8"/>
        </w:numPr>
        <w:ind w:left="1276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dokumenty przewozowe otrzymane od przewoźnika lub spedytora,</w:t>
      </w:r>
    </w:p>
    <w:p w14:paraId="119DE873" w14:textId="53DB974B" w:rsidR="00D33FDD" w:rsidRPr="00575F44" w:rsidRDefault="00D33FDD" w:rsidP="007A4170">
      <w:pPr>
        <w:pStyle w:val="ZPKTzmpktartykuempunktem"/>
        <w:numPr>
          <w:ilvl w:val="0"/>
          <w:numId w:val="8"/>
        </w:numPr>
        <w:ind w:left="1276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>potwierdzeni</w:t>
      </w:r>
      <w:r w:rsidR="004E753D" w:rsidRPr="00575F44">
        <w:rPr>
          <w:rFonts w:ascii="Times New Roman" w:hAnsi="Times New Roman" w:cs="Times New Roman"/>
          <w:szCs w:val="24"/>
        </w:rPr>
        <w:t>e</w:t>
      </w:r>
      <w:r w:rsidRPr="00575F44">
        <w:rPr>
          <w:rFonts w:ascii="Times New Roman" w:hAnsi="Times New Roman" w:cs="Times New Roman"/>
          <w:szCs w:val="24"/>
        </w:rPr>
        <w:t xml:space="preserve"> odbioru towaru przez nabywcę poza terytorium Unii Europejskiej,</w:t>
      </w:r>
    </w:p>
    <w:p w14:paraId="4D77831B" w14:textId="676E23C7" w:rsidR="00D33FDD" w:rsidRDefault="00D33FDD" w:rsidP="007A4170">
      <w:pPr>
        <w:pStyle w:val="ZPKTzmpktartykuempunktem"/>
        <w:numPr>
          <w:ilvl w:val="0"/>
          <w:numId w:val="8"/>
        </w:numPr>
        <w:ind w:left="1276"/>
        <w:rPr>
          <w:rFonts w:ascii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szCs w:val="24"/>
        </w:rPr>
        <w:t xml:space="preserve">inne dokumenty handlowe i logistyczne, jeżeli łącznie potwierdzają </w:t>
      </w:r>
      <w:r w:rsidR="00382283" w:rsidRPr="00575F44">
        <w:rPr>
          <w:rFonts w:ascii="Times New Roman" w:hAnsi="Times New Roman" w:cs="Times New Roman"/>
          <w:szCs w:val="24"/>
        </w:rPr>
        <w:t>wywóz</w:t>
      </w:r>
      <w:r w:rsidRPr="00575F44">
        <w:rPr>
          <w:rFonts w:ascii="Times New Roman" w:hAnsi="Times New Roman" w:cs="Times New Roman"/>
          <w:szCs w:val="24"/>
        </w:rPr>
        <w:t xml:space="preserve"> towarów</w:t>
      </w:r>
      <w:r w:rsidR="00382283" w:rsidRPr="00575F44">
        <w:rPr>
          <w:rFonts w:ascii="Times New Roman" w:hAnsi="Times New Roman" w:cs="Times New Roman"/>
          <w:szCs w:val="24"/>
        </w:rPr>
        <w:t xml:space="preserve"> poza terytorium Unii Europejskiej</w:t>
      </w:r>
      <w:r w:rsidRPr="00575F44">
        <w:rPr>
          <w:rFonts w:ascii="Times New Roman" w:hAnsi="Times New Roman" w:cs="Times New Roman"/>
          <w:szCs w:val="24"/>
        </w:rPr>
        <w:t>.”</w:t>
      </w:r>
      <w:r w:rsidR="005857CA">
        <w:rPr>
          <w:rFonts w:ascii="Times New Roman" w:hAnsi="Times New Roman" w:cs="Times New Roman"/>
          <w:szCs w:val="24"/>
        </w:rPr>
        <w:t>;</w:t>
      </w:r>
    </w:p>
    <w:p w14:paraId="3518443B" w14:textId="1126CE22" w:rsidR="00757F33" w:rsidRPr="00B10DAE" w:rsidRDefault="000A12AC" w:rsidP="00162D92">
      <w:pPr>
        <w:pStyle w:val="ZUSTzmustartykuempunktem"/>
        <w:numPr>
          <w:ilvl w:val="1"/>
          <w:numId w:val="3"/>
        </w:numPr>
        <w:rPr>
          <w:rFonts w:ascii="Times New Roman" w:hAnsi="Times New Roman" w:cs="Times New Roman"/>
          <w:szCs w:val="24"/>
        </w:rPr>
      </w:pPr>
      <w:r w:rsidRPr="00B10DAE">
        <w:rPr>
          <w:rFonts w:ascii="Times New Roman" w:hAnsi="Times New Roman" w:cs="Times New Roman"/>
          <w:szCs w:val="24"/>
        </w:rPr>
        <w:t xml:space="preserve">w </w:t>
      </w:r>
      <w:r w:rsidR="00162D92" w:rsidRPr="00B10DAE">
        <w:rPr>
          <w:rFonts w:ascii="Times New Roman" w:hAnsi="Times New Roman" w:cs="Times New Roman"/>
          <w:szCs w:val="24"/>
        </w:rPr>
        <w:t>ust. 6</w:t>
      </w:r>
      <w:r w:rsidR="00CE2E12" w:rsidRPr="00B10DAE">
        <w:rPr>
          <w:rFonts w:ascii="Times New Roman" w:hAnsi="Times New Roman" w:cs="Times New Roman"/>
          <w:szCs w:val="24"/>
        </w:rPr>
        <w:t>a</w:t>
      </w:r>
      <w:r w:rsidRPr="00B10DAE">
        <w:rPr>
          <w:rFonts w:ascii="Times New Roman" w:hAnsi="Times New Roman" w:cs="Times New Roman"/>
          <w:szCs w:val="24"/>
        </w:rPr>
        <w:t xml:space="preserve"> </w:t>
      </w:r>
      <w:r w:rsidR="00304622">
        <w:rPr>
          <w:rFonts w:ascii="Times New Roman" w:hAnsi="Times New Roman" w:cs="Times New Roman"/>
          <w:szCs w:val="24"/>
        </w:rPr>
        <w:t>wprowadzenie do wyliczenia</w:t>
      </w:r>
      <w:r w:rsidR="006A1D3C" w:rsidRPr="00B10DAE">
        <w:rPr>
          <w:rFonts w:ascii="Times New Roman" w:hAnsi="Times New Roman" w:cs="Times New Roman"/>
          <w:szCs w:val="24"/>
        </w:rPr>
        <w:t xml:space="preserve"> otrzymuje brzmienie:</w:t>
      </w:r>
    </w:p>
    <w:p w14:paraId="4822F686" w14:textId="3CD8A38A" w:rsidR="006A1D3C" w:rsidRPr="00575F44" w:rsidRDefault="006A1D3C" w:rsidP="006A1D3C">
      <w:pPr>
        <w:pStyle w:val="ZUSTzmustartykuempunktem"/>
        <w:rPr>
          <w:rFonts w:ascii="Times New Roman" w:hAnsi="Times New Roman" w:cs="Times New Roman"/>
          <w:szCs w:val="24"/>
        </w:rPr>
      </w:pPr>
      <w:r w:rsidRPr="00B10DAE">
        <w:rPr>
          <w:rFonts w:ascii="Times New Roman" w:hAnsi="Times New Roman" w:cs="Times New Roman"/>
          <w:szCs w:val="24"/>
        </w:rPr>
        <w:t>„Dokumen</w:t>
      </w:r>
      <w:r w:rsidR="004761D1" w:rsidRPr="00B10DAE">
        <w:rPr>
          <w:rFonts w:ascii="Times New Roman" w:hAnsi="Times New Roman" w:cs="Times New Roman"/>
          <w:szCs w:val="24"/>
        </w:rPr>
        <w:t>tem celnym</w:t>
      </w:r>
      <w:r w:rsidRPr="00B10DAE">
        <w:rPr>
          <w:rFonts w:ascii="Times New Roman" w:hAnsi="Times New Roman" w:cs="Times New Roman"/>
          <w:szCs w:val="24"/>
        </w:rPr>
        <w:t>, o który</w:t>
      </w:r>
      <w:r w:rsidR="004761D1" w:rsidRPr="00B10DAE">
        <w:rPr>
          <w:rFonts w:ascii="Times New Roman" w:hAnsi="Times New Roman" w:cs="Times New Roman"/>
          <w:szCs w:val="24"/>
        </w:rPr>
        <w:t>m</w:t>
      </w:r>
      <w:r w:rsidRPr="00B10DAE">
        <w:rPr>
          <w:rFonts w:ascii="Times New Roman" w:hAnsi="Times New Roman" w:cs="Times New Roman"/>
          <w:szCs w:val="24"/>
        </w:rPr>
        <w:t xml:space="preserve"> mowa w ust. 6 pkt 1 </w:t>
      </w:r>
      <w:r w:rsidR="004761D1" w:rsidRPr="00B10DAE">
        <w:rPr>
          <w:rFonts w:ascii="Times New Roman" w:hAnsi="Times New Roman" w:cs="Times New Roman"/>
          <w:szCs w:val="24"/>
        </w:rPr>
        <w:t>jest w szczególności:”</w:t>
      </w:r>
    </w:p>
    <w:p w14:paraId="2DA98CB2" w14:textId="33CD78E4" w:rsidR="005857CA" w:rsidRDefault="005857CA" w:rsidP="007A4170">
      <w:pPr>
        <w:pStyle w:val="NormalnyWeb"/>
        <w:numPr>
          <w:ilvl w:val="0"/>
          <w:numId w:val="3"/>
        </w:numPr>
        <w:spacing w:before="240" w:beforeAutospacing="0" w:after="240" w:afterAutospacing="0"/>
        <w:jc w:val="both"/>
      </w:pPr>
      <w:r>
        <w:t>w art. 42:</w:t>
      </w:r>
    </w:p>
    <w:p w14:paraId="5B9777F3" w14:textId="77777777" w:rsidR="005857CA" w:rsidRDefault="005857CA" w:rsidP="005E77FB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777" w:hanging="357"/>
        <w:jc w:val="both"/>
      </w:pPr>
      <w:r>
        <w:t>uchyla się ust. 1a,</w:t>
      </w:r>
    </w:p>
    <w:p w14:paraId="5CE19EF6" w14:textId="77777777" w:rsidR="005857CA" w:rsidRDefault="005857CA" w:rsidP="005E77FB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777" w:hanging="357"/>
        <w:jc w:val="both"/>
      </w:pPr>
      <w:r>
        <w:t>w ust. 12a skreśla się wyrazy „</w:t>
      </w:r>
      <w:r w:rsidRPr="0061616D">
        <w:t>oraz odpowiednio informacji podsumowującej, o której mowa w art. 100 ust. 1</w:t>
      </w:r>
      <w:r>
        <w:t>”;</w:t>
      </w:r>
    </w:p>
    <w:p w14:paraId="29F09F43" w14:textId="225B5C75" w:rsidR="005857CA" w:rsidRDefault="005857CA" w:rsidP="007A4170">
      <w:pPr>
        <w:pStyle w:val="NormalnyWeb"/>
        <w:numPr>
          <w:ilvl w:val="0"/>
          <w:numId w:val="3"/>
        </w:numPr>
        <w:spacing w:before="240" w:beforeAutospacing="0" w:after="240" w:afterAutospacing="0"/>
        <w:jc w:val="both"/>
      </w:pPr>
      <w:r>
        <w:t>w art. 97:</w:t>
      </w:r>
    </w:p>
    <w:p w14:paraId="432FD04B" w14:textId="77777777" w:rsidR="005857CA" w:rsidRDefault="005857CA" w:rsidP="005E77FB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14" w:hanging="357"/>
        <w:jc w:val="both"/>
      </w:pPr>
      <w:r>
        <w:t>w ust. 3 uchyla się pkt 2,</w:t>
      </w:r>
    </w:p>
    <w:p w14:paraId="1C569840" w14:textId="77777777" w:rsidR="005857CA" w:rsidRDefault="005857CA" w:rsidP="005E77FB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14" w:hanging="357"/>
        <w:jc w:val="both"/>
      </w:pPr>
      <w:r>
        <w:t>w ust. 10 uchyla się pkt 3,</w:t>
      </w:r>
    </w:p>
    <w:p w14:paraId="411BA245" w14:textId="50F18D4B" w:rsidR="005857CA" w:rsidRDefault="005857CA" w:rsidP="005E77FB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14" w:hanging="357"/>
        <w:jc w:val="both"/>
      </w:pPr>
      <w:r>
        <w:t>uchyla się ust</w:t>
      </w:r>
      <w:r w:rsidR="005E77FB">
        <w:t>.</w:t>
      </w:r>
      <w:r>
        <w:t xml:space="preserve"> 15a;</w:t>
      </w:r>
    </w:p>
    <w:p w14:paraId="48E78B16" w14:textId="47F90F9F" w:rsidR="00D33FDD" w:rsidRDefault="00D90436" w:rsidP="007A4170">
      <w:pPr>
        <w:pStyle w:val="NormalnyWeb"/>
        <w:numPr>
          <w:ilvl w:val="0"/>
          <w:numId w:val="3"/>
        </w:numPr>
        <w:spacing w:before="240" w:beforeAutospacing="0" w:after="240" w:afterAutospacing="0"/>
        <w:jc w:val="both"/>
      </w:pPr>
      <w:r w:rsidRPr="00575F44">
        <w:t xml:space="preserve"> </w:t>
      </w:r>
      <w:r w:rsidR="005857CA">
        <w:t>u</w:t>
      </w:r>
      <w:r w:rsidR="005857CA" w:rsidRPr="00575F44">
        <w:t xml:space="preserve">chyla </w:t>
      </w:r>
      <w:r w:rsidR="00D33FDD" w:rsidRPr="00575F44">
        <w:t xml:space="preserve">się </w:t>
      </w:r>
      <w:r w:rsidR="00D33FDD" w:rsidRPr="00575F44">
        <w:rPr>
          <w:rStyle w:val="Pogrubienie"/>
          <w:rFonts w:eastAsiaTheme="majorEastAsia"/>
          <w:b w:val="0"/>
        </w:rPr>
        <w:t>art. 100</w:t>
      </w:r>
      <w:r w:rsidR="005837BC" w:rsidRPr="00575F44">
        <w:rPr>
          <w:rStyle w:val="Pogrubienie"/>
          <w:rFonts w:eastAsiaTheme="majorEastAsia"/>
          <w:b w:val="0"/>
        </w:rPr>
        <w:t xml:space="preserve"> </w:t>
      </w:r>
      <w:r w:rsidR="005857CA">
        <w:rPr>
          <w:rStyle w:val="Pogrubienie"/>
          <w:rFonts w:eastAsiaTheme="majorEastAsia"/>
          <w:b w:val="0"/>
        </w:rPr>
        <w:t>–</w:t>
      </w:r>
      <w:r w:rsidR="005837BC" w:rsidRPr="00575F44">
        <w:rPr>
          <w:rStyle w:val="Pogrubienie"/>
          <w:rFonts w:eastAsiaTheme="majorEastAsia"/>
          <w:b w:val="0"/>
        </w:rPr>
        <w:t xml:space="preserve"> 102</w:t>
      </w:r>
      <w:r w:rsidR="005857CA">
        <w:rPr>
          <w:rStyle w:val="Pogrubienie"/>
          <w:rFonts w:eastAsiaTheme="majorEastAsia"/>
          <w:b w:val="0"/>
        </w:rPr>
        <w:t>;</w:t>
      </w:r>
      <w:r w:rsidR="00D33FDD" w:rsidRPr="00575F44">
        <w:rPr>
          <w:rStyle w:val="Pogrubienie"/>
          <w:rFonts w:eastAsiaTheme="majorEastAsia"/>
          <w:b w:val="0"/>
        </w:rPr>
        <w:t xml:space="preserve"> </w:t>
      </w:r>
      <w:r w:rsidR="00D33FDD" w:rsidRPr="00575F44">
        <w:t xml:space="preserve"> </w:t>
      </w:r>
    </w:p>
    <w:p w14:paraId="03F2E2DE" w14:textId="34F50B4B" w:rsidR="005857CA" w:rsidRPr="005857CA" w:rsidRDefault="00BA1227" w:rsidP="005E77FB">
      <w:pPr>
        <w:pStyle w:val="Akapitzlist"/>
        <w:numPr>
          <w:ilvl w:val="0"/>
          <w:numId w:val="3"/>
        </w:numPr>
        <w:spacing w:line="360" w:lineRule="auto"/>
        <w:ind w:left="419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857CA" w:rsidRPr="005857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art. 106e w ust. 1 w pkt 24 we wprowadzeniu do wyliczenia wyrazy „art. 97 ust. 10 pkt 2 i 3” zastępuje się wyrazami „art. 97 ust. 10 pkt 2”;</w:t>
      </w:r>
    </w:p>
    <w:p w14:paraId="7B1DCE16" w14:textId="77777777" w:rsidR="00CC6DAF" w:rsidRPr="00575F44" w:rsidRDefault="00CC6DAF" w:rsidP="00CC6DAF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</w:p>
    <w:p w14:paraId="3C77F0E4" w14:textId="004AE8EB" w:rsidR="00CC6DAF" w:rsidRPr="00575F44" w:rsidRDefault="00CC6DAF" w:rsidP="003D4B12">
      <w:pPr>
        <w:pStyle w:val="ARTartustawynprozporzdzenia"/>
        <w:ind w:firstLine="420"/>
        <w:rPr>
          <w:rFonts w:ascii="Times New Roman" w:eastAsia="Times New Roman" w:hAnsi="Times New Roman" w:cs="Times New Roman"/>
          <w:szCs w:val="24"/>
        </w:rPr>
      </w:pPr>
      <w:r w:rsidRPr="00575F44">
        <w:rPr>
          <w:rFonts w:ascii="Times New Roman" w:hAnsi="Times New Roman" w:cs="Times New Roman"/>
          <w:b/>
          <w:szCs w:val="24"/>
        </w:rPr>
        <w:t>Art. 2.</w:t>
      </w:r>
      <w:r w:rsidRPr="00575F44">
        <w:rPr>
          <w:rFonts w:ascii="Times New Roman" w:hAnsi="Times New Roman" w:cs="Times New Roman"/>
          <w:szCs w:val="24"/>
        </w:rPr>
        <w:t xml:space="preserve"> Ustawa wchodzi w życie po upływie 30 dni od dnia ogłoszenia.</w:t>
      </w:r>
    </w:p>
    <w:p w14:paraId="794B67DD" w14:textId="77777777" w:rsidR="006A04CD" w:rsidRDefault="006A04CD">
      <w:pPr>
        <w:widowControl/>
        <w:autoSpaceDE/>
        <w:autoSpaceDN/>
        <w:adjustRightInd/>
        <w:spacing w:line="240" w:lineRule="auto"/>
        <w:rPr>
          <w:rFonts w:cs="Times New Roman"/>
          <w:szCs w:val="24"/>
        </w:rPr>
      </w:pPr>
    </w:p>
    <w:p w14:paraId="425935AE" w14:textId="77777777" w:rsidR="003D4B12" w:rsidRDefault="003D4B12">
      <w:pPr>
        <w:widowControl/>
        <w:autoSpaceDE/>
        <w:autoSpaceDN/>
        <w:adjustRightInd/>
        <w:spacing w:line="240" w:lineRule="auto"/>
        <w:rPr>
          <w:rFonts w:cs="Times New Roman"/>
          <w:szCs w:val="24"/>
        </w:rPr>
      </w:pPr>
    </w:p>
    <w:p w14:paraId="3CFA0C80" w14:textId="77777777" w:rsidR="003D4B12" w:rsidRDefault="003D4B12">
      <w:pPr>
        <w:widowControl/>
        <w:autoSpaceDE/>
        <w:autoSpaceDN/>
        <w:adjustRightInd/>
        <w:spacing w:line="240" w:lineRule="auto"/>
        <w:rPr>
          <w:rFonts w:cs="Times New Roman"/>
          <w:szCs w:val="24"/>
        </w:rPr>
      </w:pPr>
    </w:p>
    <w:p w14:paraId="6D753CBB" w14:textId="3C92DB5A" w:rsidR="00601741" w:rsidRPr="00575F44" w:rsidRDefault="003D4B12" w:rsidP="00CC6DAF">
      <w:pPr>
        <w:pStyle w:val="ZPKTzmpktartykuempunktem"/>
        <w:ind w:left="0" w:firstLine="0"/>
        <w:jc w:val="center"/>
        <w:rPr>
          <w:rFonts w:ascii="Times New Roman" w:hAnsi="Times New Roman" w:cs="Times New Roman"/>
          <w:b/>
          <w:bCs w:val="0"/>
          <w:szCs w:val="24"/>
        </w:rPr>
      </w:pPr>
      <w:r>
        <w:rPr>
          <w:rFonts w:ascii="Times New Roman" w:hAnsi="Times New Roman" w:cs="Times New Roman"/>
          <w:b/>
          <w:bCs w:val="0"/>
          <w:szCs w:val="24"/>
        </w:rPr>
        <w:lastRenderedPageBreak/>
        <w:t>U Z A S A D N I E N I E</w:t>
      </w:r>
    </w:p>
    <w:p w14:paraId="633B189A" w14:textId="77777777" w:rsidR="00CC6DAF" w:rsidRDefault="00CC6DAF" w:rsidP="00CC6DAF">
      <w:pPr>
        <w:pStyle w:val="ZPKTzmpktartykuempunktem"/>
        <w:ind w:left="0" w:firstLine="0"/>
        <w:jc w:val="center"/>
        <w:rPr>
          <w:rFonts w:ascii="Times New Roman" w:hAnsi="Times New Roman" w:cs="Times New Roman"/>
          <w:b/>
          <w:bCs w:val="0"/>
          <w:szCs w:val="24"/>
        </w:rPr>
      </w:pPr>
    </w:p>
    <w:p w14:paraId="682A2775" w14:textId="77777777" w:rsidR="00304622" w:rsidRPr="00575F44" w:rsidRDefault="00304622" w:rsidP="00CC6DAF">
      <w:pPr>
        <w:pStyle w:val="ZPKTzmpktartykuempunktem"/>
        <w:ind w:left="0" w:firstLine="0"/>
        <w:jc w:val="center"/>
        <w:rPr>
          <w:rFonts w:ascii="Times New Roman" w:hAnsi="Times New Roman" w:cs="Times New Roman"/>
          <w:b/>
          <w:bCs w:val="0"/>
          <w:szCs w:val="24"/>
        </w:rPr>
      </w:pPr>
    </w:p>
    <w:p w14:paraId="7627CECB" w14:textId="77777777" w:rsidR="00CC6DAF" w:rsidRPr="00575F44" w:rsidRDefault="00CC6DAF" w:rsidP="00CC6DAF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>Projektowana nowelizacja ustawy z dnia 11 marca 2004 r. o podatku od towarów i usług ma na celu uproszczenie rozliczeń VAT, ograniczenie zbędnych obowiązków administracyjnych oraz zwiększenie neutralności i konkurencyjności polskiego systemu podatkowego. Projekt odpowiada na istotne problemy praktyczne zgłaszane przez przedsiębiorców, doradców podatkowych oraz organizacje branżowe, a jego celem jest racjonalizacja obowiązujących rozwiązań bez uszczerbku dla interesów fiskalnych Skarbu Państwa.</w:t>
      </w:r>
    </w:p>
    <w:p w14:paraId="5C80A912" w14:textId="77777777" w:rsidR="00CC6DAF" w:rsidRPr="00575F44" w:rsidRDefault="00CC6DAF" w:rsidP="00CC6DAF">
      <w:pPr>
        <w:jc w:val="both"/>
        <w:rPr>
          <w:rFonts w:cs="Times New Roman"/>
          <w:szCs w:val="24"/>
        </w:rPr>
      </w:pPr>
    </w:p>
    <w:p w14:paraId="038A3F74" w14:textId="6B362006" w:rsidR="00CC6DAF" w:rsidRPr="004276C1" w:rsidRDefault="00CC6DAF" w:rsidP="003D4B1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/>
        </w:rPr>
      </w:pPr>
      <w:bookmarkStart w:id="1" w:name="_Hlk217993001"/>
      <w:r w:rsidRPr="004276C1">
        <w:rPr>
          <w:rStyle w:val="Pogrubienie"/>
          <w:rFonts w:ascii="Times New Roman" w:hAnsi="Times New Roman" w:cs="Times New Roman"/>
          <w:bCs w:val="0"/>
        </w:rPr>
        <w:t xml:space="preserve">Grupy VAT – możliwość dołączania nowych </w:t>
      </w:r>
      <w:r w:rsidRPr="004276C1">
        <w:rPr>
          <w:rFonts w:ascii="Times New Roman" w:hAnsi="Times New Roman" w:cs="Times New Roman"/>
          <w:b/>
        </w:rPr>
        <w:t>członków</w:t>
      </w:r>
    </w:p>
    <w:bookmarkEnd w:id="1"/>
    <w:p w14:paraId="39D2E8B4" w14:textId="77777777" w:rsidR="003D4B12" w:rsidRPr="003D4B12" w:rsidRDefault="003D4B12" w:rsidP="003D4B12">
      <w:pPr>
        <w:pStyle w:val="Akapitzlist"/>
        <w:ind w:left="1440"/>
        <w:jc w:val="both"/>
        <w:rPr>
          <w:rFonts w:eastAsia="Times New Roman" w:cs="Times New Roman"/>
        </w:rPr>
      </w:pPr>
    </w:p>
    <w:p w14:paraId="69B0F7A4" w14:textId="48E3C055" w:rsidR="00CC6DAF" w:rsidRPr="00575F44" w:rsidRDefault="00CC6DAF" w:rsidP="00CC6DAF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>Obowiązujące przepisy ustawy o VAT przewidują, że skład grupy VAT pozostaje niezmienny przez okres jej funkcjonowania, co w praktyce oznacza brak możliwości dołączania nowych podmiotów. Regulacja ta prowadzi do sztucznego „zamrażania” struktur kapitałowych i organizacyjnych przedsiębiorstw oraz wymusza tworzenie nowych grup VAT w przypadku zmian organizacyjnych, co pozostaje w sprzeczności z ideą uproszczenia rozliczeń podatkowych.</w:t>
      </w:r>
    </w:p>
    <w:p w14:paraId="502B8B58" w14:textId="77777777" w:rsidR="00CC6DAF" w:rsidRPr="00575F44" w:rsidRDefault="00CC6DAF" w:rsidP="00CC6DAF">
      <w:pPr>
        <w:jc w:val="both"/>
        <w:rPr>
          <w:rFonts w:cs="Times New Roman"/>
          <w:szCs w:val="24"/>
        </w:rPr>
      </w:pPr>
    </w:p>
    <w:p w14:paraId="451938C0" w14:textId="77777777" w:rsidR="00CC6DAF" w:rsidRPr="00575F44" w:rsidRDefault="00CC6DAF" w:rsidP="00CC6DAF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 xml:space="preserve">Projektowana zmiana umożliwia dołączanie nowych członków do istniejącej grupy VAT w trakcie jej funkcjonowania, bez konieczności jej rozwiązania i ponownej rejestracji. </w:t>
      </w:r>
      <w:bookmarkStart w:id="2" w:name="_Hlk217992984"/>
      <w:r w:rsidRPr="004276C1">
        <w:rPr>
          <w:rFonts w:cs="Times New Roman"/>
          <w:szCs w:val="24"/>
        </w:rPr>
        <w:t>Rozwiązanie to zwiększa elastyczność stosowania instytucji grup VAT, odpowiada realiom gospodarki oraz jest zgodne z zasadą neutralności VAT i praktyką stosowaną w wielu państwach członkowskich Unii Europejskiej.</w:t>
      </w:r>
    </w:p>
    <w:bookmarkEnd w:id="2"/>
    <w:p w14:paraId="73A30659" w14:textId="1FE5A2C9" w:rsidR="00CC6DAF" w:rsidRPr="00575F44" w:rsidRDefault="00CC6DAF" w:rsidP="00CC6DAF">
      <w:pPr>
        <w:jc w:val="both"/>
        <w:rPr>
          <w:rFonts w:cs="Times New Roman"/>
          <w:szCs w:val="24"/>
        </w:rPr>
      </w:pPr>
    </w:p>
    <w:p w14:paraId="5037740D" w14:textId="76A7CFE4" w:rsidR="00CC6DAF" w:rsidRPr="003D4B12" w:rsidRDefault="00CC6DAF" w:rsidP="003D4B12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/>
        </w:rPr>
      </w:pPr>
      <w:r w:rsidRPr="003D4B12">
        <w:rPr>
          <w:rFonts w:ascii="Times New Roman" w:hAnsi="Times New Roman" w:cs="Times New Roman"/>
          <w:b/>
        </w:rPr>
        <w:t>Opakowania kaucyjne a VAT</w:t>
      </w:r>
    </w:p>
    <w:p w14:paraId="76109EC5" w14:textId="77777777" w:rsidR="003D4B12" w:rsidRPr="003D4B12" w:rsidRDefault="003D4B12" w:rsidP="003D4B12">
      <w:pPr>
        <w:pStyle w:val="Akapitzlist"/>
        <w:ind w:left="1440"/>
        <w:jc w:val="both"/>
        <w:rPr>
          <w:rFonts w:cs="Times New Roman"/>
          <w:b/>
        </w:rPr>
      </w:pPr>
    </w:p>
    <w:p w14:paraId="7A6BE9F7" w14:textId="2F340611" w:rsidR="00CC6DAF" w:rsidRPr="00575F44" w:rsidRDefault="00CC6DAF" w:rsidP="00CC6DAF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 xml:space="preserve">Wprowadzenie systemu kaucyjnego spowodowało powstanie licznych wątpliwości interpretacyjnych w zakresie rozliczeń VAT, w szczególności w odniesieniu do momentu </w:t>
      </w:r>
      <w:r w:rsidR="00175CE8">
        <w:rPr>
          <w:rFonts w:cs="Times New Roman"/>
          <w:szCs w:val="24"/>
        </w:rPr>
        <w:t xml:space="preserve">                    </w:t>
      </w:r>
      <w:r w:rsidRPr="00575F44">
        <w:rPr>
          <w:rFonts w:cs="Times New Roman"/>
          <w:szCs w:val="24"/>
        </w:rPr>
        <w:t xml:space="preserve">i skutków podatkowych niezwrócenia, zniszczenia lub utraty opakowań objętych kaucją. </w:t>
      </w:r>
      <w:r w:rsidR="00175CE8">
        <w:rPr>
          <w:rFonts w:cs="Times New Roman"/>
          <w:szCs w:val="24"/>
        </w:rPr>
        <w:t xml:space="preserve">                </w:t>
      </w:r>
      <w:r w:rsidRPr="00575F44">
        <w:rPr>
          <w:rFonts w:cs="Times New Roman"/>
          <w:szCs w:val="24"/>
        </w:rPr>
        <w:t>W praktyce prowadzi to do dokonywania korekt VAT, które nie mają realnego znaczenia fiskalnego, a jednocześnie generują istotne obciążenia administracyjne po stronie podatników.</w:t>
      </w:r>
    </w:p>
    <w:p w14:paraId="18FBA15E" w14:textId="77777777" w:rsidR="00CC6DAF" w:rsidRPr="00575F44" w:rsidRDefault="00CC6DAF" w:rsidP="00CC6DAF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 xml:space="preserve">Projektowana zmiana doprecyzowuje zasady ustalania podstawy opodatkowania poprzez jednoznaczne wyłączenie kaucji pobieranej za opakowania objęte systemem kaucyjnym z </w:t>
      </w:r>
      <w:r w:rsidRPr="00575F44">
        <w:rPr>
          <w:rFonts w:cs="Times New Roman"/>
          <w:szCs w:val="24"/>
        </w:rPr>
        <w:lastRenderedPageBreak/>
        <w:t>podstawy opodatkowania VAT, niezależnie od dalszych losów tych opakowań. Celem regulacji jest zapewnienie neutralności podatkowej kaucji oraz ograniczenie zbędnych korekt i sporów interpretacyjnych, bez ingerencji w konstrukcję dostawy towarów na gruncie ustawy o VAT.</w:t>
      </w:r>
    </w:p>
    <w:p w14:paraId="086A57B6" w14:textId="586EC087" w:rsidR="00CC6DAF" w:rsidRPr="00575F44" w:rsidRDefault="00CC6DAF" w:rsidP="00CC6DAF">
      <w:pPr>
        <w:jc w:val="both"/>
        <w:rPr>
          <w:rFonts w:cs="Times New Roman"/>
          <w:szCs w:val="24"/>
        </w:rPr>
      </w:pPr>
    </w:p>
    <w:p w14:paraId="72B39C4F" w14:textId="59586297" w:rsidR="00CC6DAF" w:rsidRPr="003D4B12" w:rsidRDefault="00CC6DAF" w:rsidP="003D4B12">
      <w:pPr>
        <w:pStyle w:val="Akapitzlist"/>
        <w:keepNext/>
        <w:numPr>
          <w:ilvl w:val="1"/>
          <w:numId w:val="8"/>
        </w:numPr>
        <w:jc w:val="both"/>
        <w:rPr>
          <w:rFonts w:ascii="Times New Roman" w:hAnsi="Times New Roman" w:cs="Times New Roman"/>
          <w:b/>
        </w:rPr>
      </w:pPr>
      <w:bookmarkStart w:id="3" w:name="_Hlk217993076"/>
      <w:r w:rsidRPr="003D4B12">
        <w:rPr>
          <w:rFonts w:ascii="Times New Roman" w:hAnsi="Times New Roman" w:cs="Times New Roman"/>
          <w:b/>
        </w:rPr>
        <w:t xml:space="preserve">Uproszczenie rozliczania VAT od importu </w:t>
      </w:r>
      <w:bookmarkEnd w:id="3"/>
      <w:r w:rsidRPr="003D4B12">
        <w:rPr>
          <w:rFonts w:ascii="Times New Roman" w:hAnsi="Times New Roman" w:cs="Times New Roman"/>
          <w:b/>
        </w:rPr>
        <w:t>(art. 33a ustawy)</w:t>
      </w:r>
    </w:p>
    <w:p w14:paraId="51A59BD7" w14:textId="77777777" w:rsidR="003D4B12" w:rsidRPr="003D4B12" w:rsidRDefault="003D4B12" w:rsidP="003D4B12">
      <w:pPr>
        <w:pStyle w:val="Akapitzlist"/>
        <w:keepNext/>
        <w:ind w:left="927"/>
        <w:jc w:val="both"/>
        <w:rPr>
          <w:rFonts w:cs="Times New Roman"/>
          <w:b/>
        </w:rPr>
      </w:pPr>
    </w:p>
    <w:p w14:paraId="6F806F91" w14:textId="0E18501E" w:rsidR="00CC6DAF" w:rsidRPr="00575F44" w:rsidRDefault="00CC6DAF" w:rsidP="00CC6DAF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>Projektowana zmiana polega na uproszczeniu warunków korzystania z procedury rozliczania VAT od importu towarów w deklaracji podatkowej poprzez rezygnację z części wymogów formalnych, które w ocenie wnioskodawcy nie są niezbędne dla zapewnienia bezpieczeństwa fiskalnego.</w:t>
      </w:r>
    </w:p>
    <w:p w14:paraId="55C63D81" w14:textId="77777777" w:rsidR="00CC6DAF" w:rsidRPr="00575F44" w:rsidRDefault="00CC6DAF" w:rsidP="00CC6DAF">
      <w:pPr>
        <w:jc w:val="both"/>
        <w:rPr>
          <w:rFonts w:cs="Times New Roman"/>
          <w:szCs w:val="24"/>
        </w:rPr>
      </w:pPr>
    </w:p>
    <w:p w14:paraId="12B4F171" w14:textId="77777777" w:rsidR="00D90135" w:rsidRDefault="00CC6DAF" w:rsidP="00D90135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>Usunięte zostają w szczególności warunki polegające na:</w:t>
      </w:r>
    </w:p>
    <w:p w14:paraId="0F96907F" w14:textId="27FAEC69" w:rsidR="00D90135" w:rsidRPr="00575F44" w:rsidRDefault="00D90135" w:rsidP="00D9013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716425" w:rsidRPr="00575F44">
        <w:rPr>
          <w:rFonts w:cs="Times New Roman"/>
          <w:szCs w:val="24"/>
        </w:rPr>
        <w:t xml:space="preserve">- </w:t>
      </w:r>
      <w:r w:rsidR="00CC6DAF" w:rsidRPr="00575F44">
        <w:rPr>
          <w:rFonts w:cs="Times New Roman"/>
          <w:szCs w:val="24"/>
        </w:rPr>
        <w:t>obowiązku przedstawiania zaświadczeń lub oświadczeń o rejestracji dla celów VAT,</w:t>
      </w:r>
    </w:p>
    <w:p w14:paraId="3DB9B78F" w14:textId="5A335C38" w:rsidR="00CC6DAF" w:rsidRPr="00575F44" w:rsidRDefault="00D90135" w:rsidP="00D9013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716425" w:rsidRPr="00575F44">
        <w:rPr>
          <w:rFonts w:cs="Times New Roman"/>
          <w:szCs w:val="24"/>
        </w:rPr>
        <w:t xml:space="preserve">- </w:t>
      </w:r>
      <w:r w:rsidR="00CC6DAF" w:rsidRPr="00575F44">
        <w:rPr>
          <w:rFonts w:cs="Times New Roman"/>
          <w:szCs w:val="24"/>
        </w:rPr>
        <w:t>obowiązku wykazywania braku zaległości podatkowych oraz zaległości w składkach na ubezpieczenia społeczne.</w:t>
      </w:r>
    </w:p>
    <w:p w14:paraId="429FFB8D" w14:textId="77777777" w:rsidR="00CC6DAF" w:rsidRPr="00575F44" w:rsidRDefault="00CC6DAF" w:rsidP="00CC6DAF">
      <w:pPr>
        <w:jc w:val="both"/>
        <w:rPr>
          <w:rFonts w:cs="Times New Roman"/>
          <w:szCs w:val="24"/>
        </w:rPr>
      </w:pPr>
    </w:p>
    <w:p w14:paraId="18C3CB2F" w14:textId="77777777" w:rsidR="00CC6DAF" w:rsidRPr="00575F44" w:rsidRDefault="00CC6DAF" w:rsidP="00CC6DAF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>Warunki te niepotrzebnie ograniczają dostęp do uproszczonej procedury rozliczania VAT od importu, mimo że mechanizmy zabezpieczające interes fiskalny państwa – w szczególności obowiązek rozliczenia podatku w deklaracji w ustawowym terminie – pozostają niezmienione.</w:t>
      </w:r>
    </w:p>
    <w:p w14:paraId="2A568292" w14:textId="024B994C" w:rsidR="00CC6DAF" w:rsidRPr="00575F44" w:rsidRDefault="00CC6DAF" w:rsidP="00CC6DAF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>Rozliczenie VAT od importu w deklaracji podatkowej jest rozwiązaniem systemowym, powszechnie stosowanym w państwach członkowskich Unii Europejskiej i nie powinno być traktowane jako szczególny przywilej podatnika. Tym bardziej, że w przypadku wewnątrzwspólnotowego nabycia towarów oraz importu usług podatek należny i naliczony rozliczany jest w deklaracji bez konieczności spełniania dodatkowych warunków formalnych, w tym bez weryfikacji istnienia zaległości podatkowych lub składkowych.</w:t>
      </w:r>
    </w:p>
    <w:p w14:paraId="5DFE37AB" w14:textId="77777777" w:rsidR="00CC6DAF" w:rsidRPr="00575F44" w:rsidRDefault="00CC6DAF" w:rsidP="00CC6DAF">
      <w:pPr>
        <w:jc w:val="both"/>
        <w:rPr>
          <w:rFonts w:cs="Times New Roman"/>
          <w:szCs w:val="24"/>
        </w:rPr>
      </w:pPr>
    </w:p>
    <w:p w14:paraId="53DBF33B" w14:textId="1A10E8F4" w:rsidR="00CC6DAF" w:rsidRPr="00575F44" w:rsidRDefault="00CC6DAF" w:rsidP="00CC6DAF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>Ponadto organy Krajowej Administracji Skarbowej oraz Zakład Ubezpieczeń Społecznych dysponują pełnymi informacjami o ewentualnych zaległościach podatników, co czyni żądanie odrębnych zaświadczeń lub oświadczeń zbędną biurokracją.</w:t>
      </w:r>
    </w:p>
    <w:p w14:paraId="15C5A705" w14:textId="77777777" w:rsidR="00CC6DAF" w:rsidRPr="00575F44" w:rsidRDefault="00CC6DAF" w:rsidP="00CC6DAF">
      <w:pPr>
        <w:jc w:val="both"/>
        <w:rPr>
          <w:rFonts w:cs="Times New Roman"/>
          <w:szCs w:val="24"/>
        </w:rPr>
      </w:pPr>
    </w:p>
    <w:p w14:paraId="380EF042" w14:textId="77777777" w:rsidR="00CC6DAF" w:rsidRPr="00575F44" w:rsidRDefault="00CC6DAF" w:rsidP="00CC6DAF">
      <w:pPr>
        <w:jc w:val="both"/>
        <w:rPr>
          <w:rFonts w:cs="Times New Roman"/>
          <w:szCs w:val="24"/>
        </w:rPr>
      </w:pPr>
      <w:bookmarkStart w:id="4" w:name="_Hlk217993057"/>
      <w:r w:rsidRPr="004276C1">
        <w:rPr>
          <w:rFonts w:cs="Times New Roman"/>
          <w:szCs w:val="24"/>
        </w:rPr>
        <w:t>Proponowana zmiana upraszcza procedury, zmniejsza obciążenia administracyjne oraz ujednolica zasady rozliczania VAT od importu z zasadami obowiązującymi w odniesieniu do innych transakcji transgranicznych.</w:t>
      </w:r>
    </w:p>
    <w:bookmarkEnd w:id="4"/>
    <w:p w14:paraId="3023D4F1" w14:textId="08C2EF40" w:rsidR="00CC6DAF" w:rsidRDefault="00CC6DAF" w:rsidP="00CC6DAF">
      <w:pPr>
        <w:jc w:val="both"/>
        <w:rPr>
          <w:rFonts w:cs="Times New Roman"/>
          <w:szCs w:val="24"/>
        </w:rPr>
      </w:pPr>
    </w:p>
    <w:p w14:paraId="12E9195B" w14:textId="77777777" w:rsidR="00F50FEF" w:rsidRPr="00575F44" w:rsidRDefault="00F50FEF" w:rsidP="00CC6DAF">
      <w:pPr>
        <w:jc w:val="both"/>
        <w:rPr>
          <w:rFonts w:cs="Times New Roman"/>
          <w:szCs w:val="24"/>
        </w:rPr>
      </w:pPr>
    </w:p>
    <w:p w14:paraId="69ACE788" w14:textId="7AEA312F" w:rsidR="00CC6DAF" w:rsidRPr="00F50FEF" w:rsidRDefault="00CC6DAF" w:rsidP="00F50FEF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/>
        </w:rPr>
      </w:pPr>
      <w:r w:rsidRPr="00F50FEF">
        <w:rPr>
          <w:rFonts w:ascii="Times New Roman" w:hAnsi="Times New Roman" w:cs="Times New Roman"/>
          <w:b/>
        </w:rPr>
        <w:t>Dowody dla zastosowania stawki 0% w eksporcie towarów</w:t>
      </w:r>
    </w:p>
    <w:p w14:paraId="7346B712" w14:textId="77777777" w:rsidR="00F50FEF" w:rsidRPr="00F50FEF" w:rsidRDefault="00F50FEF" w:rsidP="00F50FEF">
      <w:pPr>
        <w:pStyle w:val="Akapitzlist"/>
        <w:ind w:left="927"/>
        <w:jc w:val="both"/>
        <w:rPr>
          <w:rFonts w:ascii="Times New Roman" w:hAnsi="Times New Roman" w:cs="Times New Roman"/>
          <w:b/>
        </w:rPr>
      </w:pPr>
    </w:p>
    <w:p w14:paraId="293B3F46" w14:textId="2527CBFE" w:rsidR="00CC6DAF" w:rsidRPr="00575F44" w:rsidRDefault="00CC6DAF" w:rsidP="00CC6DAF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>Obowiązujące przepisy w sposób nadmiernie sformalizowany uzależniają możliwość zastosowania stawki 0% VAT w eksporcie towarów od posiadania ściśle określonych dokumentów celnych. W praktyce prowadzi to do odmowy zastosowania stawki 0% mimo faktycznego wyprowadzenia towarów poza terytorium Unii Europejskiej.</w:t>
      </w:r>
    </w:p>
    <w:p w14:paraId="02C99C3B" w14:textId="77777777" w:rsidR="00CC6DAF" w:rsidRPr="00575F44" w:rsidRDefault="00CC6DAF" w:rsidP="00CC6DAF">
      <w:pPr>
        <w:jc w:val="both"/>
        <w:rPr>
          <w:rFonts w:cs="Times New Roman"/>
          <w:szCs w:val="24"/>
        </w:rPr>
      </w:pPr>
    </w:p>
    <w:p w14:paraId="60F7255D" w14:textId="26DDC086" w:rsidR="00CC6DAF" w:rsidRPr="00575F44" w:rsidRDefault="00CC6DAF" w:rsidP="00CC6DAF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 xml:space="preserve">Projektowana zmiana rozszerza katalog dowodów potwierdzających dokonanie eksportu towarów o dokumenty przewozowe, handlowe i logistyczne, o ile łącznie potwierdzają one faktyczny wywóz towarów poza UE. Rozwiązanie to jest zgodne z </w:t>
      </w:r>
      <w:r w:rsidR="00716425" w:rsidRPr="00575F44">
        <w:rPr>
          <w:rFonts w:cs="Times New Roman"/>
          <w:szCs w:val="24"/>
        </w:rPr>
        <w:t>prawem Unii Europejskiej</w:t>
      </w:r>
      <w:r w:rsidRPr="00575F44">
        <w:rPr>
          <w:rFonts w:cs="Times New Roman"/>
          <w:szCs w:val="24"/>
        </w:rPr>
        <w:t xml:space="preserve"> oraz </w:t>
      </w:r>
      <w:r w:rsidR="00716425" w:rsidRPr="00575F44">
        <w:rPr>
          <w:rFonts w:cs="Times New Roman"/>
          <w:szCs w:val="24"/>
        </w:rPr>
        <w:t xml:space="preserve">w szczególności spójne z </w:t>
      </w:r>
      <w:r w:rsidRPr="00575F44">
        <w:rPr>
          <w:rFonts w:cs="Times New Roman"/>
          <w:szCs w:val="24"/>
        </w:rPr>
        <w:t>zasadą proporcjonalności.</w:t>
      </w:r>
    </w:p>
    <w:p w14:paraId="04613ED3" w14:textId="74E9FB24" w:rsidR="00CC6DAF" w:rsidRPr="00575F44" w:rsidRDefault="00CC6DAF" w:rsidP="00CC6DAF">
      <w:pPr>
        <w:jc w:val="both"/>
        <w:rPr>
          <w:rFonts w:cs="Times New Roman"/>
          <w:b/>
          <w:szCs w:val="24"/>
        </w:rPr>
      </w:pPr>
    </w:p>
    <w:p w14:paraId="21B3D68F" w14:textId="4AB5F89E" w:rsidR="00CC6DAF" w:rsidRPr="00F50FEF" w:rsidRDefault="00CC6DAF" w:rsidP="00F50FEF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b/>
        </w:rPr>
      </w:pPr>
      <w:r w:rsidRPr="00F50FEF">
        <w:rPr>
          <w:rFonts w:ascii="Times New Roman" w:hAnsi="Times New Roman" w:cs="Times New Roman"/>
          <w:b/>
        </w:rPr>
        <w:t>Likwidacja obowiązku składania informacji VAT-UE i VAT-UEK</w:t>
      </w:r>
    </w:p>
    <w:p w14:paraId="21C2D6C5" w14:textId="77777777" w:rsidR="00F50FEF" w:rsidRPr="00F50FEF" w:rsidRDefault="00F50FEF" w:rsidP="00F50FEF">
      <w:pPr>
        <w:pStyle w:val="Akapitzlist"/>
        <w:ind w:left="927"/>
        <w:jc w:val="both"/>
        <w:rPr>
          <w:rFonts w:cs="Times New Roman"/>
          <w:b/>
        </w:rPr>
      </w:pPr>
    </w:p>
    <w:p w14:paraId="0B3ADE61" w14:textId="5E8A791E" w:rsidR="00CC6DAF" w:rsidRPr="00575F44" w:rsidRDefault="00CC6DAF" w:rsidP="00CC6DAF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>Zakres danych wykazywanych w informacjach podsumowujących VAT-UE i VAT-UEK jest obecnie w całości raportowany w ramach Jednolitego Pliku Kontrolnego JPK_V7. Utrzymywanie odrębnego obowiązku składania tych informacji prowadzi do dublowania danych oraz zwiększa obciążenia administracyjne podatników, nie przynosząc istotnej wartości dodanej po stronie administracji skarbowej.</w:t>
      </w:r>
    </w:p>
    <w:p w14:paraId="01554B58" w14:textId="77777777" w:rsidR="00CC6DAF" w:rsidRPr="00575F44" w:rsidRDefault="00CC6DAF" w:rsidP="00CC6DAF">
      <w:pPr>
        <w:jc w:val="both"/>
        <w:rPr>
          <w:rFonts w:cs="Times New Roman"/>
          <w:szCs w:val="24"/>
        </w:rPr>
      </w:pPr>
    </w:p>
    <w:p w14:paraId="785D5400" w14:textId="0118C32C" w:rsidR="00D6544F" w:rsidRPr="00575F44" w:rsidRDefault="00CC6DAF" w:rsidP="00CC6DAF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>Uchylenie obowiązku składania informacji podsumowujących pozwala na uproszczenie systemu raportowania VAT bez negatywnego wpływu na możliwości analityczne organów podatkowych.</w:t>
      </w:r>
    </w:p>
    <w:p w14:paraId="52E78EC9" w14:textId="34B5ED17" w:rsidR="00D6544F" w:rsidRPr="00575F44" w:rsidRDefault="00D6544F" w:rsidP="00CC6DAF">
      <w:pPr>
        <w:jc w:val="both"/>
        <w:rPr>
          <w:rFonts w:cs="Times New Roman"/>
          <w:szCs w:val="24"/>
        </w:rPr>
      </w:pPr>
    </w:p>
    <w:p w14:paraId="185D94A1" w14:textId="77CEEF18" w:rsidR="00D6544F" w:rsidRPr="00575F44" w:rsidRDefault="00D6544F" w:rsidP="00CC6DAF">
      <w:pPr>
        <w:jc w:val="both"/>
        <w:rPr>
          <w:rFonts w:cs="Times New Roman"/>
          <w:b/>
          <w:szCs w:val="24"/>
        </w:rPr>
      </w:pPr>
      <w:r w:rsidRPr="00575F44">
        <w:rPr>
          <w:rFonts w:cs="Times New Roman"/>
          <w:b/>
          <w:szCs w:val="24"/>
        </w:rPr>
        <w:t>Skutki regulacji</w:t>
      </w:r>
    </w:p>
    <w:p w14:paraId="591BB5A2" w14:textId="77777777" w:rsidR="00D6544F" w:rsidRPr="00575F44" w:rsidRDefault="00D6544F" w:rsidP="00CC6DAF">
      <w:pPr>
        <w:pStyle w:val="NormalnyWeb"/>
        <w:jc w:val="both"/>
      </w:pPr>
      <w:r w:rsidRPr="00575F44">
        <w:t>Projektowana ustawa:</w:t>
      </w:r>
    </w:p>
    <w:p w14:paraId="30622B21" w14:textId="63F3D865" w:rsidR="00CC6DAF" w:rsidRPr="00F50FEF" w:rsidRDefault="00D6544F" w:rsidP="00F50FEF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F50FEF">
        <w:rPr>
          <w:rFonts w:ascii="Times New Roman" w:hAnsi="Times New Roman" w:cs="Times New Roman"/>
        </w:rPr>
        <w:t>zmniejsza obciążenia administracyjne przedsiębiorców,</w:t>
      </w:r>
    </w:p>
    <w:p w14:paraId="3F065277" w14:textId="591EB2B7" w:rsidR="00CC6DAF" w:rsidRPr="00F50FEF" w:rsidRDefault="00F50FEF" w:rsidP="00F50FEF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F50FEF">
        <w:rPr>
          <w:rFonts w:ascii="Times New Roman" w:hAnsi="Times New Roman" w:cs="Times New Roman"/>
        </w:rPr>
        <w:t>z</w:t>
      </w:r>
      <w:r w:rsidR="00D6544F" w:rsidRPr="00F50FEF">
        <w:rPr>
          <w:rFonts w:ascii="Times New Roman" w:hAnsi="Times New Roman" w:cs="Times New Roman"/>
        </w:rPr>
        <w:t>większa pewność prawa,</w:t>
      </w:r>
    </w:p>
    <w:p w14:paraId="7C17B82A" w14:textId="5C8EA344" w:rsidR="00CC6DAF" w:rsidRPr="00F50FEF" w:rsidRDefault="00D6544F" w:rsidP="00F50FEF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F50FEF">
        <w:rPr>
          <w:rFonts w:ascii="Times New Roman" w:hAnsi="Times New Roman" w:cs="Times New Roman"/>
        </w:rPr>
        <w:t>ogranicza liczbę sporów podatkowych,</w:t>
      </w:r>
    </w:p>
    <w:p w14:paraId="4E28BE4F" w14:textId="3261837B" w:rsidR="00CC6DAF" w:rsidRPr="00F50FEF" w:rsidRDefault="00D6544F" w:rsidP="00F50FEF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F50FEF">
        <w:rPr>
          <w:rFonts w:ascii="Times New Roman" w:hAnsi="Times New Roman" w:cs="Times New Roman"/>
        </w:rPr>
        <w:t>nie powoduje istotnych ubytków w dochodach budżetu państwa,</w:t>
      </w:r>
    </w:p>
    <w:p w14:paraId="1E9287A0" w14:textId="237A01EB" w:rsidR="00D6544F" w:rsidRPr="00F50FEF" w:rsidRDefault="00D6544F" w:rsidP="00F50FEF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F50FEF">
        <w:rPr>
          <w:rFonts w:ascii="Times New Roman" w:hAnsi="Times New Roman" w:cs="Times New Roman"/>
        </w:rPr>
        <w:t>poprawia konkurencyjność polskich przedsiębiorstw.</w:t>
      </w:r>
    </w:p>
    <w:p w14:paraId="7669CC87" w14:textId="2A9196AE" w:rsidR="00D6544F" w:rsidRPr="00575F44" w:rsidRDefault="00D6544F" w:rsidP="00CC6DAF">
      <w:pPr>
        <w:jc w:val="both"/>
        <w:rPr>
          <w:rFonts w:cs="Times New Roman"/>
          <w:szCs w:val="24"/>
        </w:rPr>
      </w:pPr>
    </w:p>
    <w:p w14:paraId="53D85B37" w14:textId="3BD625A3" w:rsidR="00D6544F" w:rsidRPr="00575F44" w:rsidRDefault="00D6544F" w:rsidP="00CC6DAF">
      <w:pPr>
        <w:jc w:val="both"/>
        <w:rPr>
          <w:rFonts w:cs="Times New Roman"/>
          <w:b/>
          <w:szCs w:val="24"/>
        </w:rPr>
      </w:pPr>
      <w:r w:rsidRPr="00575F44">
        <w:rPr>
          <w:rFonts w:cs="Times New Roman"/>
          <w:b/>
          <w:szCs w:val="24"/>
        </w:rPr>
        <w:lastRenderedPageBreak/>
        <w:t>Zgodność z prawem Unii Europejskiej</w:t>
      </w:r>
    </w:p>
    <w:p w14:paraId="216EB5F5" w14:textId="77777777" w:rsidR="00CC6DAF" w:rsidRPr="00575F44" w:rsidRDefault="00CC6DAF" w:rsidP="00CC6DAF">
      <w:pPr>
        <w:jc w:val="both"/>
        <w:rPr>
          <w:rFonts w:cs="Times New Roman"/>
          <w:b/>
          <w:szCs w:val="24"/>
        </w:rPr>
      </w:pPr>
    </w:p>
    <w:p w14:paraId="2E3036B5" w14:textId="5DCEE05F" w:rsidR="00D6544F" w:rsidRPr="00575F44" w:rsidRDefault="00D6544F" w:rsidP="00CC6DAF">
      <w:pPr>
        <w:jc w:val="both"/>
        <w:rPr>
          <w:rFonts w:cs="Times New Roman"/>
          <w:szCs w:val="24"/>
        </w:rPr>
      </w:pPr>
      <w:r w:rsidRPr="00575F44">
        <w:rPr>
          <w:rFonts w:cs="Times New Roman"/>
          <w:szCs w:val="24"/>
        </w:rPr>
        <w:t>Projektowane zmiany są zgodne z prawem Unii Europejskiej oraz orzecznictwem Trybunału Sprawiedliwości Unii Europejskiej i mieszczą się w zakresie swobody regulacyjnej państw członkowskich.</w:t>
      </w:r>
    </w:p>
    <w:p w14:paraId="508CD8DB" w14:textId="77777777" w:rsidR="00D6544F" w:rsidRPr="00575F44" w:rsidRDefault="00D6544F" w:rsidP="00CC6DAF">
      <w:pPr>
        <w:pStyle w:val="ZPKTzmpktartykuempunktem"/>
        <w:ind w:left="0" w:firstLine="0"/>
        <w:rPr>
          <w:rFonts w:ascii="Times New Roman" w:hAnsi="Times New Roman" w:cs="Times New Roman"/>
          <w:szCs w:val="24"/>
        </w:rPr>
      </w:pPr>
    </w:p>
    <w:p w14:paraId="053477E3" w14:textId="77777777" w:rsidR="00B209EC" w:rsidRPr="00575F44" w:rsidRDefault="00B209EC" w:rsidP="00CC6DAF">
      <w:pPr>
        <w:jc w:val="both"/>
        <w:rPr>
          <w:rFonts w:cs="Times New Roman"/>
          <w:szCs w:val="24"/>
        </w:rPr>
      </w:pPr>
    </w:p>
    <w:sectPr w:rsidR="00B209EC" w:rsidRPr="00575F44" w:rsidSect="00601741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1D78" w14:textId="77777777" w:rsidR="00544F92" w:rsidRDefault="00544F92">
      <w:pPr>
        <w:spacing w:line="240" w:lineRule="auto"/>
      </w:pPr>
      <w:r>
        <w:separator/>
      </w:r>
    </w:p>
  </w:endnote>
  <w:endnote w:type="continuationSeparator" w:id="0">
    <w:p w14:paraId="4B2DC038" w14:textId="77777777" w:rsidR="00544F92" w:rsidRDefault="00544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96EF" w14:textId="77777777" w:rsidR="00544F92" w:rsidRDefault="00544F92">
      <w:pPr>
        <w:spacing w:line="240" w:lineRule="auto"/>
      </w:pPr>
      <w:r>
        <w:separator/>
      </w:r>
    </w:p>
  </w:footnote>
  <w:footnote w:type="continuationSeparator" w:id="0">
    <w:p w14:paraId="58C910A4" w14:textId="77777777" w:rsidR="00544F92" w:rsidRDefault="00544F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F9FB" w14:textId="139965A0" w:rsidR="00E838D6" w:rsidRPr="00B371CC" w:rsidRDefault="00070EB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A417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2D0"/>
    <w:multiLevelType w:val="hybridMultilevel"/>
    <w:tmpl w:val="4A1472B4"/>
    <w:lvl w:ilvl="0" w:tplc="75A6CE40">
      <w:start w:val="1"/>
      <w:numFmt w:val="decimal"/>
      <w:lvlText w:val="%1)"/>
      <w:lvlJc w:val="left"/>
      <w:pPr>
        <w:ind w:left="720" w:hanging="360"/>
      </w:pPr>
      <w:rPr>
        <w:rFonts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2FD8"/>
    <w:multiLevelType w:val="multilevel"/>
    <w:tmpl w:val="554A7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2341D"/>
    <w:multiLevelType w:val="hybridMultilevel"/>
    <w:tmpl w:val="CD2C9B6A"/>
    <w:lvl w:ilvl="0" w:tplc="A6C2F7D8">
      <w:start w:val="7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366158"/>
    <w:multiLevelType w:val="hybridMultilevel"/>
    <w:tmpl w:val="0F70B470"/>
    <w:lvl w:ilvl="0" w:tplc="EB6AF28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08771B3"/>
    <w:multiLevelType w:val="hybridMultilevel"/>
    <w:tmpl w:val="6F6C16AA"/>
    <w:lvl w:ilvl="0" w:tplc="4BD6A156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A5B0455"/>
    <w:multiLevelType w:val="multilevel"/>
    <w:tmpl w:val="E0A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80A46"/>
    <w:multiLevelType w:val="hybridMultilevel"/>
    <w:tmpl w:val="1CF077B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F3286"/>
    <w:multiLevelType w:val="hybridMultilevel"/>
    <w:tmpl w:val="099A9B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64301"/>
    <w:multiLevelType w:val="hybridMultilevel"/>
    <w:tmpl w:val="14E88718"/>
    <w:lvl w:ilvl="0" w:tplc="75A6CE40">
      <w:start w:val="1"/>
      <w:numFmt w:val="decimal"/>
      <w:lvlText w:val="%1)"/>
      <w:lvlJc w:val="left"/>
      <w:pPr>
        <w:ind w:left="720" w:hanging="360"/>
      </w:pPr>
      <w:rPr>
        <w:rFonts w:hAnsi="Symbol" w:hint="default"/>
      </w:rPr>
    </w:lvl>
    <w:lvl w:ilvl="1" w:tplc="17800C2E">
      <w:start w:val="1"/>
      <w:numFmt w:val="decimal"/>
      <w:lvlText w:val="%2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A1464"/>
    <w:multiLevelType w:val="hybridMultilevel"/>
    <w:tmpl w:val="CF603B0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5AE01652"/>
    <w:multiLevelType w:val="hybridMultilevel"/>
    <w:tmpl w:val="E6B2FA1E"/>
    <w:lvl w:ilvl="0" w:tplc="A6C2F7D8">
      <w:start w:val="7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F771F"/>
    <w:multiLevelType w:val="hybridMultilevel"/>
    <w:tmpl w:val="D5140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E2038"/>
    <w:multiLevelType w:val="hybridMultilevel"/>
    <w:tmpl w:val="F8187C46"/>
    <w:lvl w:ilvl="0" w:tplc="6C2687D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75E17D1D"/>
    <w:multiLevelType w:val="hybridMultilevel"/>
    <w:tmpl w:val="B742ED28"/>
    <w:lvl w:ilvl="0" w:tplc="27D6BF76">
      <w:start w:val="1"/>
      <w:numFmt w:val="decimal"/>
      <w:lvlText w:val="%1)"/>
      <w:lvlJc w:val="left"/>
      <w:pPr>
        <w:ind w:left="420" w:hanging="360"/>
      </w:pPr>
      <w:rPr>
        <w:rFonts w:eastAsiaTheme="majorEastAsia"/>
        <w:b w:val="0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7FC53C6"/>
    <w:multiLevelType w:val="multilevel"/>
    <w:tmpl w:val="1F96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480295"/>
    <w:multiLevelType w:val="multilevel"/>
    <w:tmpl w:val="809435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020057">
    <w:abstractNumId w:val="9"/>
  </w:num>
  <w:num w:numId="2" w16cid:durableId="1298797581">
    <w:abstractNumId w:val="12"/>
  </w:num>
  <w:num w:numId="3" w16cid:durableId="1996645803">
    <w:abstractNumId w:val="4"/>
  </w:num>
  <w:num w:numId="4" w16cid:durableId="1906256464">
    <w:abstractNumId w:val="15"/>
  </w:num>
  <w:num w:numId="5" w16cid:durableId="859857762">
    <w:abstractNumId w:val="6"/>
  </w:num>
  <w:num w:numId="6" w16cid:durableId="2133205384">
    <w:abstractNumId w:val="5"/>
  </w:num>
  <w:num w:numId="7" w16cid:durableId="1940336124">
    <w:abstractNumId w:val="14"/>
  </w:num>
  <w:num w:numId="8" w16cid:durableId="1279525276">
    <w:abstractNumId w:val="8"/>
  </w:num>
  <w:num w:numId="9" w16cid:durableId="1059943732">
    <w:abstractNumId w:val="2"/>
  </w:num>
  <w:num w:numId="10" w16cid:durableId="256521129">
    <w:abstractNumId w:val="1"/>
  </w:num>
  <w:num w:numId="11" w16cid:durableId="1887259795">
    <w:abstractNumId w:val="10"/>
  </w:num>
  <w:num w:numId="12" w16cid:durableId="1630083732">
    <w:abstractNumId w:val="0"/>
  </w:num>
  <w:num w:numId="13" w16cid:durableId="17888144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3450472">
    <w:abstractNumId w:val="3"/>
  </w:num>
  <w:num w:numId="15" w16cid:durableId="1129279178">
    <w:abstractNumId w:val="7"/>
  </w:num>
  <w:num w:numId="16" w16cid:durableId="12330021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41"/>
    <w:rsid w:val="00003C8E"/>
    <w:rsid w:val="00016D9C"/>
    <w:rsid w:val="00057C7D"/>
    <w:rsid w:val="00070EB5"/>
    <w:rsid w:val="00072CD3"/>
    <w:rsid w:val="000A12AC"/>
    <w:rsid w:val="000A7CBC"/>
    <w:rsid w:val="000B2D7E"/>
    <w:rsid w:val="000E13FD"/>
    <w:rsid w:val="00122C49"/>
    <w:rsid w:val="00130C27"/>
    <w:rsid w:val="00146235"/>
    <w:rsid w:val="001560BD"/>
    <w:rsid w:val="00162D92"/>
    <w:rsid w:val="00166686"/>
    <w:rsid w:val="00175CE8"/>
    <w:rsid w:val="001B0F69"/>
    <w:rsid w:val="001C5725"/>
    <w:rsid w:val="001D0B9A"/>
    <w:rsid w:val="001D5049"/>
    <w:rsid w:val="002223AE"/>
    <w:rsid w:val="00250A5B"/>
    <w:rsid w:val="002657D6"/>
    <w:rsid w:val="0026766E"/>
    <w:rsid w:val="00273D8C"/>
    <w:rsid w:val="002811AE"/>
    <w:rsid w:val="002865E1"/>
    <w:rsid w:val="002D78D2"/>
    <w:rsid w:val="00304622"/>
    <w:rsid w:val="00326414"/>
    <w:rsid w:val="00327FB1"/>
    <w:rsid w:val="00382283"/>
    <w:rsid w:val="003927AC"/>
    <w:rsid w:val="003D0536"/>
    <w:rsid w:val="003D4B12"/>
    <w:rsid w:val="003E5D7B"/>
    <w:rsid w:val="00401204"/>
    <w:rsid w:val="00412D3F"/>
    <w:rsid w:val="004276C1"/>
    <w:rsid w:val="00427999"/>
    <w:rsid w:val="00436FF5"/>
    <w:rsid w:val="004702FF"/>
    <w:rsid w:val="00474DA2"/>
    <w:rsid w:val="004761D1"/>
    <w:rsid w:val="004A6D04"/>
    <w:rsid w:val="004C79AB"/>
    <w:rsid w:val="004E753D"/>
    <w:rsid w:val="005232BC"/>
    <w:rsid w:val="005329CB"/>
    <w:rsid w:val="00544F92"/>
    <w:rsid w:val="0054585A"/>
    <w:rsid w:val="00562DAA"/>
    <w:rsid w:val="00575F44"/>
    <w:rsid w:val="005837BC"/>
    <w:rsid w:val="005857CA"/>
    <w:rsid w:val="00585FCD"/>
    <w:rsid w:val="005A7289"/>
    <w:rsid w:val="005E4141"/>
    <w:rsid w:val="005E77FB"/>
    <w:rsid w:val="005F57EE"/>
    <w:rsid w:val="00601741"/>
    <w:rsid w:val="00617A19"/>
    <w:rsid w:val="0068710E"/>
    <w:rsid w:val="006A04CD"/>
    <w:rsid w:val="006A1D3C"/>
    <w:rsid w:val="006B71B4"/>
    <w:rsid w:val="006C24B2"/>
    <w:rsid w:val="006E77F1"/>
    <w:rsid w:val="006F5E66"/>
    <w:rsid w:val="00716425"/>
    <w:rsid w:val="00727C08"/>
    <w:rsid w:val="00730354"/>
    <w:rsid w:val="00746674"/>
    <w:rsid w:val="00757F33"/>
    <w:rsid w:val="00771AC6"/>
    <w:rsid w:val="007A3440"/>
    <w:rsid w:val="007A4170"/>
    <w:rsid w:val="007C0680"/>
    <w:rsid w:val="007E581E"/>
    <w:rsid w:val="0084306B"/>
    <w:rsid w:val="008567D4"/>
    <w:rsid w:val="00870038"/>
    <w:rsid w:val="008B7481"/>
    <w:rsid w:val="008C0870"/>
    <w:rsid w:val="008D1436"/>
    <w:rsid w:val="008F76E4"/>
    <w:rsid w:val="00906C94"/>
    <w:rsid w:val="0098608B"/>
    <w:rsid w:val="00987D12"/>
    <w:rsid w:val="009A1A39"/>
    <w:rsid w:val="009B3753"/>
    <w:rsid w:val="009B6C66"/>
    <w:rsid w:val="009E1272"/>
    <w:rsid w:val="009E70F5"/>
    <w:rsid w:val="00A07EB8"/>
    <w:rsid w:val="00A275D0"/>
    <w:rsid w:val="00A46095"/>
    <w:rsid w:val="00A47B9D"/>
    <w:rsid w:val="00AA0593"/>
    <w:rsid w:val="00AC51DE"/>
    <w:rsid w:val="00AD6CB7"/>
    <w:rsid w:val="00B1069E"/>
    <w:rsid w:val="00B10DAE"/>
    <w:rsid w:val="00B209EC"/>
    <w:rsid w:val="00B7314B"/>
    <w:rsid w:val="00B75B4E"/>
    <w:rsid w:val="00B842B1"/>
    <w:rsid w:val="00BA1227"/>
    <w:rsid w:val="00BB1C46"/>
    <w:rsid w:val="00BF15AA"/>
    <w:rsid w:val="00C062A0"/>
    <w:rsid w:val="00C2259F"/>
    <w:rsid w:val="00C5229D"/>
    <w:rsid w:val="00C52BBB"/>
    <w:rsid w:val="00C7248D"/>
    <w:rsid w:val="00C76EE4"/>
    <w:rsid w:val="00C870D2"/>
    <w:rsid w:val="00CA2DE5"/>
    <w:rsid w:val="00CA4498"/>
    <w:rsid w:val="00CC6DAF"/>
    <w:rsid w:val="00CE2E12"/>
    <w:rsid w:val="00D0072A"/>
    <w:rsid w:val="00D11A15"/>
    <w:rsid w:val="00D3074E"/>
    <w:rsid w:val="00D33FDD"/>
    <w:rsid w:val="00D46513"/>
    <w:rsid w:val="00D46AF6"/>
    <w:rsid w:val="00D51BB6"/>
    <w:rsid w:val="00D6544F"/>
    <w:rsid w:val="00D90135"/>
    <w:rsid w:val="00D90436"/>
    <w:rsid w:val="00DD080C"/>
    <w:rsid w:val="00DE556A"/>
    <w:rsid w:val="00DE5697"/>
    <w:rsid w:val="00DE725E"/>
    <w:rsid w:val="00E07190"/>
    <w:rsid w:val="00E11894"/>
    <w:rsid w:val="00E16A1F"/>
    <w:rsid w:val="00E224DB"/>
    <w:rsid w:val="00E569FE"/>
    <w:rsid w:val="00E61A74"/>
    <w:rsid w:val="00E6502A"/>
    <w:rsid w:val="00E7625B"/>
    <w:rsid w:val="00E838D6"/>
    <w:rsid w:val="00EC4969"/>
    <w:rsid w:val="00ED712D"/>
    <w:rsid w:val="00F15A95"/>
    <w:rsid w:val="00F50FEF"/>
    <w:rsid w:val="00F645F4"/>
    <w:rsid w:val="00F64640"/>
    <w:rsid w:val="00F8747F"/>
    <w:rsid w:val="00F8762A"/>
    <w:rsid w:val="00F90B70"/>
    <w:rsid w:val="00FB236F"/>
    <w:rsid w:val="00FD104C"/>
    <w:rsid w:val="00FD3B97"/>
    <w:rsid w:val="00FE3F01"/>
    <w:rsid w:val="00FF44C4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076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741"/>
    <w:pPr>
      <w:widowControl w:val="0"/>
      <w:autoSpaceDE w:val="0"/>
      <w:autoSpaceDN w:val="0"/>
      <w:adjustRightInd w:val="0"/>
      <w:spacing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741"/>
    <w:pPr>
      <w:keepNext/>
      <w:keepLines/>
      <w:widowControl/>
      <w:autoSpaceDE/>
      <w:autoSpaceDN/>
      <w:adjustRightInd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741"/>
    <w:pPr>
      <w:keepNext/>
      <w:keepLines/>
      <w:widowControl/>
      <w:autoSpaceDE/>
      <w:autoSpaceDN/>
      <w:adjustRightInd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741"/>
    <w:pPr>
      <w:keepNext/>
      <w:keepLines/>
      <w:widowControl/>
      <w:autoSpaceDE/>
      <w:autoSpaceDN/>
      <w:adjustRightInd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741"/>
    <w:pPr>
      <w:keepNext/>
      <w:keepLines/>
      <w:widowControl/>
      <w:autoSpaceDE/>
      <w:autoSpaceDN/>
      <w:adjustRightInd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741"/>
    <w:pPr>
      <w:keepNext/>
      <w:keepLines/>
      <w:widowControl/>
      <w:autoSpaceDE/>
      <w:autoSpaceDN/>
      <w:adjustRightInd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741"/>
    <w:pPr>
      <w:keepNext/>
      <w:keepLines/>
      <w:widowControl/>
      <w:autoSpaceDE/>
      <w:autoSpaceDN/>
      <w:adjustRightInd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741"/>
    <w:pPr>
      <w:keepNext/>
      <w:keepLines/>
      <w:widowControl/>
      <w:autoSpaceDE/>
      <w:autoSpaceDN/>
      <w:adjustRightInd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741"/>
    <w:pPr>
      <w:keepNext/>
      <w:keepLines/>
      <w:widowControl/>
      <w:autoSpaceDE/>
      <w:autoSpaceDN/>
      <w:adjustRightInd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741"/>
    <w:pPr>
      <w:keepNext/>
      <w:keepLines/>
      <w:widowControl/>
      <w:autoSpaceDE/>
      <w:autoSpaceDN/>
      <w:adjustRightInd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7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7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7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7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7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7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741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0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741"/>
    <w:pPr>
      <w:widowControl/>
      <w:numPr>
        <w:ilvl w:val="1"/>
      </w:numPr>
      <w:autoSpaceDE/>
      <w:autoSpaceDN/>
      <w:adjustRightInd/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01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741"/>
    <w:pPr>
      <w:widowControl/>
      <w:autoSpaceDE/>
      <w:autoSpaceDN/>
      <w:adjustRightInd/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017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741"/>
    <w:pPr>
      <w:widowControl/>
      <w:autoSpaceDE/>
      <w:autoSpaceDN/>
      <w:adjustRightInd/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017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74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7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74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60174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01741"/>
    <w:rPr>
      <w:rFonts w:ascii="Times" w:eastAsia="Times New Roman" w:hAnsi="Times" w:cs="Times New Roman"/>
      <w:kern w:val="1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60174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01741"/>
    <w:pPr>
      <w:widowControl/>
      <w:autoSpaceDE/>
      <w:autoSpaceDN/>
      <w:adjustRightInd/>
      <w:ind w:left="1020" w:hanging="510"/>
      <w:jc w:val="both"/>
    </w:pPr>
    <w:rPr>
      <w:rFonts w:ascii="Times" w:hAnsi="Times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0174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601741"/>
    <w:pPr>
      <w:widowControl/>
      <w:suppressAutoHyphens/>
      <w:ind w:left="510" w:firstLine="510"/>
      <w:jc w:val="both"/>
    </w:pPr>
    <w:rPr>
      <w:rFonts w:ascii="Times" w:hAnsi="Times"/>
    </w:rPr>
  </w:style>
  <w:style w:type="character" w:customStyle="1" w:styleId="Ppogrubienie">
    <w:name w:val="_P_ – pogrubienie"/>
    <w:basedOn w:val="Domylnaczcionkaakapitu"/>
    <w:uiPriority w:val="1"/>
    <w:qFormat/>
    <w:rsid w:val="00601741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0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EB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EB5"/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EB5"/>
    <w:rPr>
      <w:rFonts w:ascii="Times New Roman" w:eastAsiaTheme="minorEastAsia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2657D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2657D6"/>
    <w:rPr>
      <w:b/>
      <w:bCs/>
    </w:rPr>
  </w:style>
  <w:style w:type="paragraph" w:styleId="Poprawka">
    <w:name w:val="Revision"/>
    <w:hidden/>
    <w:uiPriority w:val="99"/>
    <w:semiHidden/>
    <w:rsid w:val="00870038"/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1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170"/>
    <w:rPr>
      <w:rFonts w:ascii="Segoe UI" w:eastAsiaTheme="minorEastAsia" w:hAnsi="Segoe UI" w:cs="Segoe UI"/>
      <w:kern w:val="0"/>
      <w:sz w:val="18"/>
      <w:szCs w:val="1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449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98"/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6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1489</Words>
  <Characters>8939</Characters>
  <Application>Microsoft Office Word</Application>
  <DocSecurity>0</DocSecurity>
  <Lines>74</Lines>
  <Paragraphs>20</Paragraphs>
  <ScaleCrop>false</ScaleCrop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2026-04-17T11:13:00Z</dcterms:created>
  <dcterms:modified xsi:type="dcterms:W3CDTF">2026-04-17T11:14:00Z</dcterms:modified>
</cp:coreProperties>
</file>